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D6397" w14:textId="77777777" w:rsidR="00A95F24" w:rsidRPr="00A95F24" w:rsidRDefault="00A95F24" w:rsidP="00A95F24">
      <w:pPr>
        <w:pStyle w:val="Title"/>
        <w:widowControl w:val="0"/>
        <w:jc w:val="center"/>
        <w:rPr>
          <w:bCs/>
          <w:sz w:val="24"/>
          <w:szCs w:val="24"/>
        </w:rPr>
      </w:pPr>
    </w:p>
    <w:p w14:paraId="4ADE4DC5" w14:textId="7201EE3C" w:rsidR="00D049BD" w:rsidRPr="00DD79DD" w:rsidRDefault="006847B6" w:rsidP="00A95F24">
      <w:pPr>
        <w:pStyle w:val="Title"/>
        <w:widowControl w:val="0"/>
        <w:jc w:val="center"/>
        <w:rPr>
          <w:b/>
          <w:bCs/>
          <w:sz w:val="40"/>
          <w:szCs w:val="40"/>
        </w:rPr>
      </w:pPr>
      <w:r w:rsidRPr="00DD79DD">
        <w:rPr>
          <w:b/>
          <w:bCs/>
          <w:sz w:val="40"/>
          <w:szCs w:val="40"/>
        </w:rPr>
        <w:t>Checklist in Considering Employee Requests for Religious Accommodations to COVID-19 Vaccine Mandates</w:t>
      </w:r>
    </w:p>
    <w:p w14:paraId="1FC5B777" w14:textId="77777777" w:rsidR="002116B7" w:rsidRPr="002116B7" w:rsidRDefault="002116B7" w:rsidP="009355CB">
      <w:pPr>
        <w:widowControl w:val="0"/>
        <w:spacing w:after="0"/>
      </w:pPr>
    </w:p>
    <w:p w14:paraId="7EBF0A07" w14:textId="77777777" w:rsidR="0099790C" w:rsidRDefault="006847B6" w:rsidP="009355CB">
      <w:pPr>
        <w:widowControl w:val="0"/>
        <w:jc w:val="both"/>
        <w:rPr>
          <w:sz w:val="24"/>
          <w:szCs w:val="24"/>
        </w:rPr>
      </w:pPr>
      <w:r>
        <w:rPr>
          <w:sz w:val="24"/>
          <w:szCs w:val="24"/>
        </w:rPr>
        <w:t>Employers are required to provide</w:t>
      </w:r>
      <w:r w:rsidRPr="0099790C">
        <w:rPr>
          <w:sz w:val="24"/>
          <w:szCs w:val="24"/>
        </w:rPr>
        <w:t xml:space="preserve"> reasonable accommodations to employees whose sincerely-held religious beliefs render them unable to receive a vaccination against COVID</w:t>
      </w:r>
      <w:r>
        <w:rPr>
          <w:sz w:val="24"/>
          <w:szCs w:val="24"/>
        </w:rPr>
        <w:t>-</w:t>
      </w:r>
      <w:r w:rsidRPr="0099790C">
        <w:rPr>
          <w:sz w:val="24"/>
          <w:szCs w:val="24"/>
        </w:rPr>
        <w:t xml:space="preserve">19.  This </w:t>
      </w:r>
      <w:r>
        <w:rPr>
          <w:sz w:val="24"/>
          <w:szCs w:val="24"/>
        </w:rPr>
        <w:t>checklist</w:t>
      </w:r>
      <w:r w:rsidRPr="0099790C">
        <w:rPr>
          <w:sz w:val="24"/>
          <w:szCs w:val="24"/>
        </w:rPr>
        <w:t xml:space="preserve"> is intended to facilitate a proper evaluation of an employee’s request for such an accommodation within the confines of Title VII.</w:t>
      </w:r>
      <w:r>
        <w:rPr>
          <w:sz w:val="24"/>
          <w:szCs w:val="24"/>
        </w:rPr>
        <w:t xml:space="preserve"> </w:t>
      </w:r>
    </w:p>
    <w:p w14:paraId="1ABF6CB5" w14:textId="38F088DB" w:rsidR="001D3EFF" w:rsidRPr="00A55893" w:rsidRDefault="006847B6" w:rsidP="009355CB">
      <w:pPr>
        <w:widowControl w:val="0"/>
        <w:jc w:val="both"/>
        <w:rPr>
          <w:sz w:val="24"/>
          <w:szCs w:val="24"/>
        </w:rPr>
      </w:pPr>
      <w:r w:rsidRPr="00A55893">
        <w:rPr>
          <w:sz w:val="24"/>
          <w:szCs w:val="24"/>
        </w:rPr>
        <w:t xml:space="preserve">Employers </w:t>
      </w:r>
      <w:r w:rsidR="0099790C">
        <w:rPr>
          <w:sz w:val="24"/>
          <w:szCs w:val="24"/>
        </w:rPr>
        <w:t>must</w:t>
      </w:r>
      <w:r w:rsidRPr="00A55893">
        <w:rPr>
          <w:sz w:val="24"/>
          <w:szCs w:val="24"/>
        </w:rPr>
        <w:t xml:space="preserve"> assess three questions when faced with an employee request for an exemption from a mandatory COVID-19 vaccination requirement based on religious belief:</w:t>
      </w:r>
    </w:p>
    <w:p w14:paraId="48A76019" w14:textId="77777777" w:rsidR="001D3EFF" w:rsidRPr="00A55893" w:rsidRDefault="006847B6" w:rsidP="009355CB">
      <w:pPr>
        <w:pStyle w:val="ListParagraph"/>
        <w:widowControl w:val="0"/>
        <w:numPr>
          <w:ilvl w:val="0"/>
          <w:numId w:val="2"/>
        </w:numPr>
        <w:spacing w:after="120"/>
        <w:contextualSpacing w:val="0"/>
        <w:jc w:val="both"/>
        <w:rPr>
          <w:sz w:val="24"/>
          <w:szCs w:val="24"/>
        </w:rPr>
      </w:pPr>
      <w:r w:rsidRPr="00A55893">
        <w:rPr>
          <w:sz w:val="24"/>
          <w:szCs w:val="24"/>
        </w:rPr>
        <w:t>Is the belief religious?</w:t>
      </w:r>
    </w:p>
    <w:p w14:paraId="6BC92AD0" w14:textId="77777777" w:rsidR="001D3EFF" w:rsidRPr="00A55893" w:rsidRDefault="006847B6" w:rsidP="009355CB">
      <w:pPr>
        <w:pStyle w:val="ListParagraph"/>
        <w:widowControl w:val="0"/>
        <w:numPr>
          <w:ilvl w:val="0"/>
          <w:numId w:val="2"/>
        </w:numPr>
        <w:spacing w:after="120"/>
        <w:contextualSpacing w:val="0"/>
        <w:jc w:val="both"/>
        <w:rPr>
          <w:sz w:val="24"/>
          <w:szCs w:val="24"/>
        </w:rPr>
      </w:pPr>
      <w:r w:rsidRPr="00A55893">
        <w:rPr>
          <w:sz w:val="24"/>
          <w:szCs w:val="24"/>
        </w:rPr>
        <w:t xml:space="preserve">Is the belief sincerely held? </w:t>
      </w:r>
    </w:p>
    <w:p w14:paraId="59A2A340" w14:textId="15EDA565" w:rsidR="002116B7" w:rsidRDefault="006847B6" w:rsidP="009355CB">
      <w:pPr>
        <w:pStyle w:val="ListParagraph"/>
        <w:widowControl w:val="0"/>
        <w:numPr>
          <w:ilvl w:val="0"/>
          <w:numId w:val="2"/>
        </w:numPr>
        <w:spacing w:after="0"/>
        <w:contextualSpacing w:val="0"/>
        <w:jc w:val="both"/>
        <w:rPr>
          <w:sz w:val="24"/>
          <w:szCs w:val="24"/>
        </w:rPr>
      </w:pPr>
      <w:r w:rsidRPr="00A55893">
        <w:rPr>
          <w:sz w:val="24"/>
          <w:szCs w:val="24"/>
        </w:rPr>
        <w:t>Would providing a reasonable accommodation impose an undue hardship on the employer?</w:t>
      </w:r>
    </w:p>
    <w:p w14:paraId="58EEC657" w14:textId="77777777" w:rsidR="00DD3CD6" w:rsidRPr="00A55893" w:rsidRDefault="00DD3CD6" w:rsidP="00DD3CD6">
      <w:pPr>
        <w:pStyle w:val="ListParagraph"/>
        <w:widowControl w:val="0"/>
        <w:spacing w:after="0"/>
        <w:ind w:left="1080"/>
        <w:contextualSpacing w:val="0"/>
        <w:jc w:val="both"/>
        <w:rPr>
          <w:sz w:val="24"/>
          <w:szCs w:val="24"/>
        </w:rPr>
      </w:pPr>
    </w:p>
    <w:p w14:paraId="7B40FF24" w14:textId="330D99CB" w:rsidR="00A25CFD" w:rsidRDefault="006847B6" w:rsidP="00DD3CD6">
      <w:pPr>
        <w:pStyle w:val="Title"/>
        <w:rPr>
          <w:b/>
          <w:sz w:val="40"/>
          <w:szCs w:val="40"/>
        </w:rPr>
      </w:pPr>
      <w:r w:rsidRPr="00DD3CD6">
        <w:rPr>
          <w:b/>
          <w:sz w:val="40"/>
          <w:szCs w:val="40"/>
        </w:rPr>
        <w:t>Is the Belief Religious?</w:t>
      </w:r>
    </w:p>
    <w:p w14:paraId="2BD1C981" w14:textId="5FD417EA" w:rsidR="00DD3CD6" w:rsidRPr="00DD3CD6" w:rsidRDefault="0006676F" w:rsidP="00DD3CD6">
      <w:r>
        <w:rPr>
          <w:noProof/>
        </w:rPr>
        <mc:AlternateContent>
          <mc:Choice Requires="wps">
            <w:drawing>
              <wp:anchor distT="0" distB="0" distL="114300" distR="114300" simplePos="0" relativeHeight="251659264" behindDoc="0" locked="0" layoutInCell="1" allowOverlap="1" wp14:anchorId="66A658E0" wp14:editId="676353BB">
                <wp:simplePos x="0" y="0"/>
                <wp:positionH relativeFrom="column">
                  <wp:posOffset>12700</wp:posOffset>
                </wp:positionH>
                <wp:positionV relativeFrom="paragraph">
                  <wp:posOffset>70485</wp:posOffset>
                </wp:positionV>
                <wp:extent cx="64008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314D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55pt" to="505pt,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" strokecolor="#4472c4 [3204]" strokeweight=".5pt">
                <v:stroke joinstyle="miter"/>
              </v:line>
            </w:pict>
          </mc:Fallback>
        </mc:AlternateContent>
      </w:r>
    </w:p>
    <w:p w14:paraId="7152BFBF" w14:textId="081A60CA" w:rsidR="00BD1F47" w:rsidRPr="00A55893" w:rsidRDefault="006847B6" w:rsidP="009355CB">
      <w:pPr>
        <w:widowControl w:val="0"/>
        <w:ind w:left="360"/>
        <w:jc w:val="both"/>
        <w:rPr>
          <w:b/>
          <w:bCs/>
          <w:sz w:val="24"/>
          <w:szCs w:val="24"/>
        </w:rPr>
      </w:pPr>
      <w:r w:rsidRPr="00A55893">
        <w:rPr>
          <w:b/>
          <w:bCs/>
          <w:sz w:val="24"/>
          <w:szCs w:val="24"/>
        </w:rPr>
        <w:t>THE</w:t>
      </w:r>
      <w:r w:rsidR="00944750" w:rsidRPr="00A55893">
        <w:rPr>
          <w:b/>
          <w:bCs/>
          <w:sz w:val="24"/>
          <w:szCs w:val="24"/>
        </w:rPr>
        <w:t xml:space="preserve"> LEGAL</w:t>
      </w:r>
      <w:r w:rsidRPr="00A55893">
        <w:rPr>
          <w:b/>
          <w:bCs/>
          <w:sz w:val="24"/>
          <w:szCs w:val="24"/>
        </w:rPr>
        <w:t xml:space="preserve"> STANDARD</w:t>
      </w:r>
    </w:p>
    <w:p w14:paraId="2D4354C4" w14:textId="2D9F07B9" w:rsidR="001D3EFF" w:rsidRPr="00A55893" w:rsidRDefault="006847B6" w:rsidP="009355CB">
      <w:pPr>
        <w:pStyle w:val="ListParagraph"/>
        <w:widowControl w:val="0"/>
        <w:numPr>
          <w:ilvl w:val="0"/>
          <w:numId w:val="3"/>
        </w:numPr>
        <w:spacing w:after="120"/>
        <w:ind w:left="1080"/>
        <w:contextualSpacing w:val="0"/>
        <w:jc w:val="both"/>
        <w:rPr>
          <w:sz w:val="24"/>
          <w:szCs w:val="24"/>
        </w:rPr>
      </w:pPr>
      <w:r w:rsidRPr="00A55893">
        <w:rPr>
          <w:sz w:val="24"/>
          <w:szCs w:val="24"/>
        </w:rPr>
        <w:t>“Religion” is identified by evaluating three factors</w:t>
      </w:r>
      <w:proofErr w:type="gramStart"/>
      <w:r w:rsidRPr="00A55893">
        <w:rPr>
          <w:sz w:val="24"/>
          <w:szCs w:val="24"/>
        </w:rPr>
        <w:t>:  (</w:t>
      </w:r>
      <w:proofErr w:type="gramEnd"/>
      <w:r w:rsidRPr="00A55893">
        <w:rPr>
          <w:sz w:val="24"/>
          <w:szCs w:val="24"/>
        </w:rPr>
        <w:t>1) it concerns “fundamental and ultimate questions having to do with deep and imponderable matters; (2) it is comprehensive, and not simply an isolated teaching; and (3) it “often can be recognized by the presence of certain formal and external signs.”</w:t>
      </w:r>
    </w:p>
    <w:p w14:paraId="22A77D1E" w14:textId="77777777" w:rsidR="00A25CFD" w:rsidRPr="00A55893" w:rsidRDefault="006847B6" w:rsidP="009355CB">
      <w:pPr>
        <w:pStyle w:val="ListParagraph"/>
        <w:widowControl w:val="0"/>
        <w:numPr>
          <w:ilvl w:val="0"/>
          <w:numId w:val="3"/>
        </w:numPr>
        <w:spacing w:after="120"/>
        <w:ind w:left="1080"/>
        <w:contextualSpacing w:val="0"/>
        <w:jc w:val="both"/>
        <w:rPr>
          <w:sz w:val="24"/>
          <w:szCs w:val="24"/>
        </w:rPr>
      </w:pPr>
      <w:r w:rsidRPr="00A55893">
        <w:rPr>
          <w:sz w:val="24"/>
          <w:szCs w:val="24"/>
        </w:rPr>
        <w:t>Personal, political and other non-religious beliefs or views are not required to be accommodated.</w:t>
      </w:r>
    </w:p>
    <w:p w14:paraId="3CAE3F29" w14:textId="04D82836" w:rsidR="00B45320" w:rsidRPr="00CD3134" w:rsidRDefault="006847B6" w:rsidP="00CD3134">
      <w:pPr>
        <w:pStyle w:val="ListParagraph"/>
        <w:widowControl w:val="0"/>
        <w:numPr>
          <w:ilvl w:val="0"/>
          <w:numId w:val="3"/>
        </w:numPr>
        <w:spacing w:after="120"/>
        <w:ind w:left="1080"/>
        <w:contextualSpacing w:val="0"/>
        <w:jc w:val="both"/>
        <w:rPr>
          <w:sz w:val="24"/>
          <w:szCs w:val="24"/>
        </w:rPr>
      </w:pPr>
      <w:r w:rsidRPr="00A55893">
        <w:rPr>
          <w:sz w:val="24"/>
          <w:szCs w:val="24"/>
        </w:rPr>
        <w:t>A religious belief is defined as “a given belief that is sincere and meaningful [and] occupies a place in the life of its possessor parallel to that filled by the orthodox belief in God of one who clearly qualifies for the exemption.” This definition has been expanded to include moral and ethical beliefs that assume the function of a religion in a person’s life.</w:t>
      </w:r>
      <w:r w:rsidR="00E27EC7">
        <w:rPr>
          <w:sz w:val="24"/>
          <w:szCs w:val="24"/>
        </w:rPr>
        <w:t xml:space="preserve"> </w:t>
      </w:r>
      <w:r w:rsidRPr="00E27EC7">
        <w:rPr>
          <w:sz w:val="24"/>
          <w:szCs w:val="24"/>
        </w:rPr>
        <w:t>Therefore, an individual does not have to belong to any established religious group</w:t>
      </w:r>
      <w:r w:rsidR="00365D01" w:rsidRPr="00E27EC7">
        <w:rPr>
          <w:sz w:val="24"/>
          <w:szCs w:val="24"/>
        </w:rPr>
        <w:t>,</w:t>
      </w:r>
      <w:r w:rsidRPr="00E27EC7">
        <w:rPr>
          <w:sz w:val="24"/>
          <w:szCs w:val="24"/>
        </w:rPr>
        <w:t xml:space="preserve"> as long as the individual’s belief is held with the strength of traditional religious conviction.</w:t>
      </w:r>
    </w:p>
    <w:p w14:paraId="306BF91E" w14:textId="2399FEB9" w:rsidR="008739C5" w:rsidRPr="008739C5" w:rsidRDefault="006847B6" w:rsidP="008739C5">
      <w:pPr>
        <w:pStyle w:val="ListParagraph"/>
        <w:widowControl w:val="0"/>
        <w:numPr>
          <w:ilvl w:val="0"/>
          <w:numId w:val="3"/>
        </w:numPr>
        <w:spacing w:after="120"/>
        <w:ind w:left="1080"/>
        <w:contextualSpacing w:val="0"/>
        <w:jc w:val="both"/>
        <w:rPr>
          <w:sz w:val="24"/>
          <w:szCs w:val="24"/>
        </w:rPr>
      </w:pPr>
      <w:r w:rsidRPr="004832A9">
        <w:rPr>
          <w:sz w:val="24"/>
          <w:szCs w:val="24"/>
        </w:rPr>
        <w:lastRenderedPageBreak/>
        <w:t xml:space="preserve">Traditionally, the EEOC and courts have taken a very broad view of the definition of religion. </w:t>
      </w:r>
      <w:r w:rsidR="00E27EC7" w:rsidRPr="00E27EC7">
        <w:rPr>
          <w:sz w:val="24"/>
          <w:szCs w:val="24"/>
        </w:rPr>
        <w:t xml:space="preserve">When in “doubt about whether a particular set of beliefs constitutes a religion,” courts will “err on the side of” finding the beliefs to be religious. </w:t>
      </w:r>
    </w:p>
    <w:p w14:paraId="477B1891" w14:textId="77777777" w:rsidR="0006676F" w:rsidRDefault="0006676F" w:rsidP="009355CB">
      <w:pPr>
        <w:widowControl w:val="0"/>
        <w:spacing w:after="120"/>
        <w:ind w:left="360"/>
        <w:jc w:val="both"/>
        <w:rPr>
          <w:b/>
          <w:bCs/>
          <w:sz w:val="24"/>
          <w:szCs w:val="24"/>
        </w:rPr>
      </w:pPr>
    </w:p>
    <w:p w14:paraId="18E3408D" w14:textId="31B1E550" w:rsidR="00BD1F47" w:rsidRPr="00A55893" w:rsidRDefault="006847B6" w:rsidP="009355CB">
      <w:pPr>
        <w:widowControl w:val="0"/>
        <w:spacing w:after="120"/>
        <w:ind w:left="360"/>
        <w:jc w:val="both"/>
        <w:rPr>
          <w:b/>
          <w:bCs/>
          <w:sz w:val="24"/>
          <w:szCs w:val="24"/>
        </w:rPr>
      </w:pPr>
      <w:r w:rsidRPr="00A55893">
        <w:rPr>
          <w:b/>
          <w:bCs/>
          <w:sz w:val="24"/>
          <w:szCs w:val="24"/>
        </w:rPr>
        <w:t>PRACTICAL GUIDANCE</w:t>
      </w:r>
    </w:p>
    <w:p w14:paraId="101F1CB8" w14:textId="77777777" w:rsidR="009355CB" w:rsidRDefault="006847B6" w:rsidP="009355CB">
      <w:pPr>
        <w:pStyle w:val="ListParagraph"/>
        <w:widowControl w:val="0"/>
        <w:numPr>
          <w:ilvl w:val="0"/>
          <w:numId w:val="3"/>
        </w:numPr>
        <w:spacing w:after="120"/>
        <w:ind w:left="1080"/>
        <w:contextualSpacing w:val="0"/>
        <w:jc w:val="both"/>
        <w:rPr>
          <w:sz w:val="24"/>
          <w:szCs w:val="24"/>
        </w:rPr>
      </w:pPr>
      <w:r w:rsidRPr="00E27EC7">
        <w:rPr>
          <w:sz w:val="24"/>
          <w:szCs w:val="24"/>
        </w:rPr>
        <w:t xml:space="preserve">Beliefs do not need to be widely practiced to be religious. A belief can be religious even if no one else practices it.  </w:t>
      </w:r>
    </w:p>
    <w:p w14:paraId="6F83D464" w14:textId="3EF8EFE6" w:rsidR="00C979DA" w:rsidRPr="00C979DA" w:rsidRDefault="006847B6" w:rsidP="009355CB">
      <w:pPr>
        <w:pStyle w:val="ListParagraph"/>
        <w:widowControl w:val="0"/>
        <w:numPr>
          <w:ilvl w:val="0"/>
          <w:numId w:val="3"/>
        </w:numPr>
        <w:spacing w:after="120"/>
        <w:ind w:left="1080"/>
        <w:contextualSpacing w:val="0"/>
        <w:jc w:val="both"/>
        <w:rPr>
          <w:sz w:val="24"/>
          <w:szCs w:val="24"/>
        </w:rPr>
      </w:pPr>
      <w:r w:rsidRPr="009355CB">
        <w:rPr>
          <w:sz w:val="24"/>
          <w:szCs w:val="24"/>
        </w:rPr>
        <w:t xml:space="preserve">Because the issue of whether a belief is religious is such a nebulous one, employers </w:t>
      </w:r>
      <w:r w:rsidR="005D757F">
        <w:rPr>
          <w:sz w:val="24"/>
          <w:szCs w:val="24"/>
        </w:rPr>
        <w:t>must</w:t>
      </w:r>
      <w:r w:rsidRPr="009355CB">
        <w:rPr>
          <w:sz w:val="24"/>
          <w:szCs w:val="24"/>
        </w:rPr>
        <w:t xml:space="preserve"> exercise caution in determining too quickly that a specific belief falls outside the scope of a “religious belief.”  </w:t>
      </w:r>
    </w:p>
    <w:p w14:paraId="7711DA1C" w14:textId="466BBFC6" w:rsidR="001D3EFF" w:rsidRDefault="006847B6" w:rsidP="00960AD3">
      <w:pPr>
        <w:pStyle w:val="ListParagraph"/>
        <w:widowControl w:val="0"/>
        <w:numPr>
          <w:ilvl w:val="0"/>
          <w:numId w:val="3"/>
        </w:numPr>
        <w:spacing w:after="120"/>
        <w:ind w:left="1080"/>
        <w:contextualSpacing w:val="0"/>
        <w:jc w:val="both"/>
        <w:rPr>
          <w:sz w:val="24"/>
          <w:szCs w:val="24"/>
        </w:rPr>
      </w:pPr>
      <w:r>
        <w:rPr>
          <w:sz w:val="24"/>
          <w:szCs w:val="24"/>
        </w:rPr>
        <w:t>I</w:t>
      </w:r>
      <w:r w:rsidR="00A25CFD" w:rsidRPr="00A55893">
        <w:rPr>
          <w:sz w:val="24"/>
          <w:szCs w:val="24"/>
        </w:rPr>
        <w:t>f there is a</w:t>
      </w:r>
      <w:r w:rsidR="00E27EC7">
        <w:rPr>
          <w:sz w:val="24"/>
          <w:szCs w:val="24"/>
        </w:rPr>
        <w:t xml:space="preserve">n objective basis for questioning </w:t>
      </w:r>
      <w:r w:rsidR="00A25CFD" w:rsidRPr="00A55893">
        <w:rPr>
          <w:sz w:val="24"/>
          <w:szCs w:val="24"/>
        </w:rPr>
        <w:t xml:space="preserve">the religious nature of an accommodation request, </w:t>
      </w:r>
      <w:r w:rsidR="00105355" w:rsidRPr="00A55893">
        <w:rPr>
          <w:sz w:val="24"/>
          <w:szCs w:val="24"/>
        </w:rPr>
        <w:t>employers</w:t>
      </w:r>
      <w:r w:rsidR="00A25CFD" w:rsidRPr="00A55893">
        <w:rPr>
          <w:sz w:val="24"/>
          <w:szCs w:val="24"/>
        </w:rPr>
        <w:t xml:space="preserve"> may </w:t>
      </w:r>
      <w:r w:rsidR="00E27EC7">
        <w:rPr>
          <w:sz w:val="24"/>
          <w:szCs w:val="24"/>
        </w:rPr>
        <w:t xml:space="preserve">seek additional supporting information, including </w:t>
      </w:r>
      <w:r w:rsidR="00A25CFD" w:rsidRPr="00A55893">
        <w:rPr>
          <w:sz w:val="24"/>
          <w:szCs w:val="24"/>
        </w:rPr>
        <w:t>ask</w:t>
      </w:r>
      <w:r w:rsidR="00E27EC7">
        <w:rPr>
          <w:sz w:val="24"/>
          <w:szCs w:val="24"/>
        </w:rPr>
        <w:t>ing</w:t>
      </w:r>
      <w:r w:rsidR="00A25CFD" w:rsidRPr="00A55893">
        <w:rPr>
          <w:sz w:val="24"/>
          <w:szCs w:val="24"/>
        </w:rPr>
        <w:t xml:space="preserve"> respectful questions about the practice and</w:t>
      </w:r>
      <w:r>
        <w:rPr>
          <w:sz w:val="24"/>
          <w:szCs w:val="24"/>
        </w:rPr>
        <w:t xml:space="preserve"> </w:t>
      </w:r>
      <w:r w:rsidR="00A25CFD" w:rsidRPr="00A55893">
        <w:rPr>
          <w:sz w:val="24"/>
          <w:szCs w:val="24"/>
        </w:rPr>
        <w:t>the beliefs underlying it, to understand whether the employee’s belief is</w:t>
      </w:r>
      <w:r>
        <w:rPr>
          <w:sz w:val="24"/>
          <w:szCs w:val="24"/>
        </w:rPr>
        <w:t xml:space="preserve"> truly</w:t>
      </w:r>
      <w:r w:rsidR="00A25CFD" w:rsidRPr="00A55893">
        <w:rPr>
          <w:sz w:val="24"/>
          <w:szCs w:val="24"/>
        </w:rPr>
        <w:t xml:space="preserve"> religious in nature. </w:t>
      </w:r>
    </w:p>
    <w:p w14:paraId="2EA8F535" w14:textId="77777777" w:rsidR="00DD3CD6" w:rsidRDefault="00DD3CD6" w:rsidP="00DD3CD6">
      <w:pPr>
        <w:pStyle w:val="ListParagraph"/>
        <w:widowControl w:val="0"/>
        <w:spacing w:after="120"/>
        <w:ind w:left="1080"/>
        <w:contextualSpacing w:val="0"/>
        <w:jc w:val="both"/>
        <w:rPr>
          <w:sz w:val="24"/>
          <w:szCs w:val="24"/>
        </w:rPr>
      </w:pPr>
    </w:p>
    <w:p w14:paraId="2765FACE" w14:textId="22D3C9C6" w:rsidR="0076158C" w:rsidRDefault="006847B6" w:rsidP="00DD3CD6">
      <w:pPr>
        <w:pStyle w:val="Title"/>
        <w:rPr>
          <w:b/>
          <w:sz w:val="40"/>
          <w:szCs w:val="40"/>
        </w:rPr>
      </w:pPr>
      <w:r w:rsidRPr="00DD3CD6">
        <w:rPr>
          <w:b/>
          <w:sz w:val="40"/>
          <w:szCs w:val="40"/>
        </w:rPr>
        <w:t xml:space="preserve">Is the Belief Sincerely Held? </w:t>
      </w:r>
    </w:p>
    <w:p w14:paraId="31F06A67" w14:textId="07C1D3C1" w:rsidR="00DD3CD6" w:rsidRPr="00DD3CD6" w:rsidRDefault="0006676F" w:rsidP="00DD3CD6">
      <w:r>
        <w:rPr>
          <w:noProof/>
        </w:rPr>
        <mc:AlternateContent>
          <mc:Choice Requires="wps">
            <w:drawing>
              <wp:anchor distT="0" distB="0" distL="114300" distR="114300" simplePos="0" relativeHeight="251660288" behindDoc="0" locked="0" layoutInCell="1" allowOverlap="1" wp14:anchorId="31E5549A" wp14:editId="39C7030E">
                <wp:simplePos x="0" y="0"/>
                <wp:positionH relativeFrom="column">
                  <wp:posOffset>12700</wp:posOffset>
                </wp:positionH>
                <wp:positionV relativeFrom="paragraph">
                  <wp:posOffset>75565</wp:posOffset>
                </wp:positionV>
                <wp:extent cx="64008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9EA4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5.95pt" to="505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" strokecolor="#4472c4 [3204]" strokeweight=".5pt">
                <v:stroke joinstyle="miter"/>
              </v:line>
            </w:pict>
          </mc:Fallback>
        </mc:AlternateContent>
      </w:r>
    </w:p>
    <w:p w14:paraId="41D5F3F8" w14:textId="6F883E7E" w:rsidR="00944750" w:rsidRPr="00EF176A" w:rsidRDefault="006847B6" w:rsidP="009355CB">
      <w:pPr>
        <w:widowControl w:val="0"/>
        <w:spacing w:after="120"/>
        <w:ind w:left="720"/>
        <w:jc w:val="both"/>
        <w:rPr>
          <w:b/>
          <w:bCs/>
          <w:sz w:val="24"/>
          <w:szCs w:val="24"/>
        </w:rPr>
      </w:pPr>
      <w:r w:rsidRPr="00A55893">
        <w:rPr>
          <w:b/>
          <w:bCs/>
          <w:sz w:val="24"/>
          <w:szCs w:val="24"/>
        </w:rPr>
        <w:t>THE LEGAL STANDARD</w:t>
      </w:r>
    </w:p>
    <w:p w14:paraId="67439989" w14:textId="08F71396" w:rsidR="0076158C" w:rsidRPr="00A55893" w:rsidRDefault="006847B6" w:rsidP="009355CB">
      <w:pPr>
        <w:pStyle w:val="ListParagraph"/>
        <w:widowControl w:val="0"/>
        <w:numPr>
          <w:ilvl w:val="0"/>
          <w:numId w:val="6"/>
        </w:numPr>
        <w:ind w:left="1440"/>
        <w:jc w:val="both"/>
        <w:rPr>
          <w:sz w:val="24"/>
          <w:szCs w:val="24"/>
        </w:rPr>
      </w:pPr>
      <w:r w:rsidRPr="00A55893">
        <w:rPr>
          <w:sz w:val="24"/>
          <w:szCs w:val="24"/>
        </w:rPr>
        <w:t>The EEOC lists four factors to consider in determining whether a belief is sincerely held:</w:t>
      </w:r>
    </w:p>
    <w:p w14:paraId="2C621CA3" w14:textId="443A26EE" w:rsidR="009F2EA0" w:rsidRPr="00A55893" w:rsidRDefault="006847B6" w:rsidP="009355CB">
      <w:pPr>
        <w:widowControl w:val="0"/>
        <w:ind w:left="1440"/>
        <w:jc w:val="both"/>
        <w:rPr>
          <w:rFonts w:ascii="Calibri" w:hAnsi="Calibri"/>
          <w:sz w:val="24"/>
          <w:szCs w:val="24"/>
        </w:rPr>
      </w:pPr>
      <w:r w:rsidRPr="00A55893">
        <w:rPr>
          <w:rFonts w:ascii="Calibri" w:hAnsi="Calibri"/>
          <w:sz w:val="24"/>
          <w:szCs w:val="24"/>
        </w:rPr>
        <w:t>(a) Whether the employee has behaved in a manner markedly inconsistent with the professed belief;</w:t>
      </w:r>
    </w:p>
    <w:p w14:paraId="28B895B6" w14:textId="66FBF1A7" w:rsidR="009F2EA0" w:rsidRPr="00A55893" w:rsidRDefault="006847B6" w:rsidP="009355CB">
      <w:pPr>
        <w:widowControl w:val="0"/>
        <w:ind w:left="1440"/>
        <w:jc w:val="both"/>
        <w:rPr>
          <w:rFonts w:ascii="Calibri" w:hAnsi="Calibri"/>
          <w:sz w:val="24"/>
          <w:szCs w:val="24"/>
        </w:rPr>
      </w:pPr>
      <w:r w:rsidRPr="00A55893">
        <w:rPr>
          <w:rFonts w:ascii="Calibri" w:hAnsi="Calibri"/>
          <w:sz w:val="24"/>
          <w:szCs w:val="24"/>
        </w:rPr>
        <w:t>(b) Whether the accommodation sought is a particularly desirable benefit that is likely to be sought for secular reasons;</w:t>
      </w:r>
    </w:p>
    <w:p w14:paraId="56725281" w14:textId="6A727094" w:rsidR="009F2EA0" w:rsidRPr="00A55893" w:rsidRDefault="006847B6" w:rsidP="009355CB">
      <w:pPr>
        <w:widowControl w:val="0"/>
        <w:ind w:left="1440"/>
        <w:jc w:val="both"/>
        <w:rPr>
          <w:rFonts w:ascii="Calibri" w:hAnsi="Calibri"/>
          <w:sz w:val="24"/>
          <w:szCs w:val="24"/>
        </w:rPr>
      </w:pPr>
      <w:r w:rsidRPr="00A55893">
        <w:rPr>
          <w:rFonts w:ascii="Calibri" w:hAnsi="Calibri"/>
          <w:sz w:val="24"/>
          <w:szCs w:val="24"/>
        </w:rPr>
        <w:t>(c) Whether the timing of the request renders it suspect (e.g., it follows an earlier request by the employee for the same benefit for secular reasons);</w:t>
      </w:r>
    </w:p>
    <w:p w14:paraId="2218750C" w14:textId="0AFDD585" w:rsidR="004832A9" w:rsidRDefault="006847B6" w:rsidP="004832A9">
      <w:pPr>
        <w:widowControl w:val="0"/>
        <w:ind w:left="1440"/>
        <w:jc w:val="both"/>
        <w:rPr>
          <w:rFonts w:ascii="Calibri" w:hAnsi="Calibri"/>
          <w:sz w:val="24"/>
          <w:szCs w:val="24"/>
        </w:rPr>
      </w:pPr>
      <w:r w:rsidRPr="00A55893">
        <w:rPr>
          <w:rFonts w:ascii="Calibri" w:hAnsi="Calibri"/>
          <w:sz w:val="24"/>
          <w:szCs w:val="24"/>
        </w:rPr>
        <w:t>(d) Whether the employer otherwise has reason to believe the accommodation is not sought for religious reasons.</w:t>
      </w:r>
    </w:p>
    <w:p w14:paraId="03D0A1F3" w14:textId="77777777" w:rsidR="00CD3134" w:rsidRDefault="00CD3134" w:rsidP="00CD3134">
      <w:pPr>
        <w:widowControl w:val="0"/>
        <w:jc w:val="both"/>
        <w:rPr>
          <w:rFonts w:ascii="Calibri" w:hAnsi="Calibri"/>
          <w:sz w:val="24"/>
          <w:szCs w:val="24"/>
        </w:rPr>
      </w:pPr>
    </w:p>
    <w:p w14:paraId="7D1F71EF" w14:textId="004F9FAD" w:rsidR="00703A83" w:rsidRPr="00CD3134" w:rsidRDefault="006847B6" w:rsidP="00CD3134">
      <w:pPr>
        <w:pStyle w:val="ListParagraph"/>
        <w:widowControl w:val="0"/>
        <w:numPr>
          <w:ilvl w:val="0"/>
          <w:numId w:val="4"/>
        </w:numPr>
        <w:spacing w:after="120"/>
        <w:ind w:left="1440"/>
        <w:contextualSpacing w:val="0"/>
        <w:jc w:val="both"/>
        <w:rPr>
          <w:sz w:val="24"/>
          <w:szCs w:val="24"/>
        </w:rPr>
      </w:pPr>
      <w:r w:rsidRPr="004832A9">
        <w:rPr>
          <w:sz w:val="24"/>
          <w:szCs w:val="24"/>
        </w:rPr>
        <w:t xml:space="preserve">As with the definition of </w:t>
      </w:r>
      <w:r>
        <w:rPr>
          <w:sz w:val="24"/>
          <w:szCs w:val="24"/>
        </w:rPr>
        <w:t>“</w:t>
      </w:r>
      <w:r w:rsidRPr="004832A9">
        <w:rPr>
          <w:sz w:val="24"/>
          <w:szCs w:val="24"/>
        </w:rPr>
        <w:t>religion,</w:t>
      </w:r>
      <w:r>
        <w:rPr>
          <w:sz w:val="24"/>
          <w:szCs w:val="24"/>
        </w:rPr>
        <w:t>” the</w:t>
      </w:r>
      <w:r w:rsidRPr="004832A9">
        <w:rPr>
          <w:sz w:val="24"/>
          <w:szCs w:val="24"/>
        </w:rPr>
        <w:t xml:space="preserve"> EEOC and courts have </w:t>
      </w:r>
      <w:r>
        <w:rPr>
          <w:sz w:val="24"/>
          <w:szCs w:val="24"/>
        </w:rPr>
        <w:t>generally adopted</w:t>
      </w:r>
      <w:r w:rsidRPr="004832A9">
        <w:rPr>
          <w:sz w:val="24"/>
          <w:szCs w:val="24"/>
        </w:rPr>
        <w:t xml:space="preserve"> a very employee-friendly standard in determining whether an employee’s belief is “sincerely held.”</w:t>
      </w:r>
    </w:p>
    <w:p w14:paraId="4687B9EC" w14:textId="258E979D" w:rsidR="00944750" w:rsidRPr="00A55893" w:rsidRDefault="006847B6" w:rsidP="009355CB">
      <w:pPr>
        <w:widowControl w:val="0"/>
        <w:ind w:left="720"/>
        <w:jc w:val="both"/>
        <w:rPr>
          <w:b/>
          <w:bCs/>
          <w:sz w:val="24"/>
          <w:szCs w:val="24"/>
        </w:rPr>
      </w:pPr>
      <w:r w:rsidRPr="00A55893">
        <w:rPr>
          <w:b/>
          <w:bCs/>
          <w:sz w:val="24"/>
          <w:szCs w:val="24"/>
        </w:rPr>
        <w:lastRenderedPageBreak/>
        <w:t>PRACTICAL GUIDANCE</w:t>
      </w:r>
    </w:p>
    <w:p w14:paraId="5AECC106" w14:textId="63FDC4EA" w:rsidR="00D17E47" w:rsidRDefault="006847B6" w:rsidP="009355CB">
      <w:pPr>
        <w:pStyle w:val="ListParagraph"/>
        <w:widowControl w:val="0"/>
        <w:numPr>
          <w:ilvl w:val="0"/>
          <w:numId w:val="4"/>
        </w:numPr>
        <w:spacing w:after="120"/>
        <w:ind w:left="1440"/>
        <w:contextualSpacing w:val="0"/>
        <w:jc w:val="both"/>
        <w:rPr>
          <w:sz w:val="24"/>
          <w:szCs w:val="24"/>
        </w:rPr>
      </w:pPr>
      <w:r w:rsidRPr="00D17E47">
        <w:rPr>
          <w:sz w:val="24"/>
          <w:szCs w:val="24"/>
        </w:rPr>
        <w:t xml:space="preserve">Employers must consider all of the above factors, as none is dispositive. This is a heavily fact-specific analysis and employers should be </w:t>
      </w:r>
      <w:r w:rsidR="00BD2BA1">
        <w:rPr>
          <w:sz w:val="24"/>
          <w:szCs w:val="24"/>
        </w:rPr>
        <w:t>extremely</w:t>
      </w:r>
      <w:r w:rsidRPr="00D17E47">
        <w:rPr>
          <w:sz w:val="24"/>
          <w:szCs w:val="24"/>
        </w:rPr>
        <w:t xml:space="preserve"> cautious in evaluating the sincerity of the employee’s belief</w:t>
      </w:r>
      <w:r w:rsidR="00BD2BA1">
        <w:rPr>
          <w:sz w:val="24"/>
          <w:szCs w:val="24"/>
        </w:rPr>
        <w:t>,</w:t>
      </w:r>
      <w:r w:rsidRPr="00D17E47">
        <w:rPr>
          <w:sz w:val="24"/>
          <w:szCs w:val="24"/>
        </w:rPr>
        <w:t xml:space="preserve"> as courts have recognized that an individual’s beliefs can change over time.</w:t>
      </w:r>
    </w:p>
    <w:p w14:paraId="1900070D" w14:textId="3E88F093" w:rsidR="00365D01" w:rsidRPr="00A55893" w:rsidRDefault="006847B6" w:rsidP="009355CB">
      <w:pPr>
        <w:pStyle w:val="ListParagraph"/>
        <w:widowControl w:val="0"/>
        <w:numPr>
          <w:ilvl w:val="0"/>
          <w:numId w:val="4"/>
        </w:numPr>
        <w:spacing w:after="120"/>
        <w:ind w:left="1440"/>
        <w:contextualSpacing w:val="0"/>
        <w:jc w:val="both"/>
        <w:rPr>
          <w:sz w:val="24"/>
          <w:szCs w:val="24"/>
        </w:rPr>
      </w:pPr>
      <w:r w:rsidRPr="00A55893">
        <w:rPr>
          <w:sz w:val="24"/>
          <w:szCs w:val="24"/>
        </w:rPr>
        <w:t xml:space="preserve">Be aware that employees who may not be traditionally religious, or who appear to be only </w:t>
      </w:r>
      <w:bookmarkStart w:id="0" w:name="_GoBack"/>
      <w:bookmarkEnd w:id="0"/>
      <w:r w:rsidRPr="00A55893">
        <w:rPr>
          <w:sz w:val="24"/>
          <w:szCs w:val="24"/>
        </w:rPr>
        <w:t xml:space="preserve">nominally religious, may still request a religious accommodation. Employers should treat them with the </w:t>
      </w:r>
      <w:r w:rsidRPr="00C979DA">
        <w:rPr>
          <w:sz w:val="24"/>
          <w:szCs w:val="24"/>
        </w:rPr>
        <w:t>same sensitivity as they would treat someone professing a strong faith in a more traditional religion.</w:t>
      </w:r>
      <w:r w:rsidR="00C979DA" w:rsidRPr="00C979DA">
        <w:rPr>
          <w:sz w:val="24"/>
          <w:szCs w:val="24"/>
        </w:rPr>
        <w:t xml:space="preserve"> Additionally, the fact that an </w:t>
      </w:r>
      <w:r w:rsidR="00C979DA">
        <w:rPr>
          <w:sz w:val="24"/>
          <w:szCs w:val="24"/>
        </w:rPr>
        <w:t>employee</w:t>
      </w:r>
      <w:r w:rsidR="00C979DA" w:rsidRPr="00C979DA">
        <w:rPr>
          <w:sz w:val="24"/>
          <w:szCs w:val="24"/>
        </w:rPr>
        <w:t xml:space="preserve"> is not a frequent observer of his or her faith or had not previously made his or her faith public does not necessarily limit its sincerity</w:t>
      </w:r>
      <w:r w:rsidR="00C979DA">
        <w:rPr>
          <w:sz w:val="24"/>
          <w:szCs w:val="24"/>
        </w:rPr>
        <w:t>.</w:t>
      </w:r>
    </w:p>
    <w:p w14:paraId="091EB7A7" w14:textId="415CFB90" w:rsidR="00944750" w:rsidRDefault="006847B6" w:rsidP="009355CB">
      <w:pPr>
        <w:pStyle w:val="ListParagraph"/>
        <w:widowControl w:val="0"/>
        <w:numPr>
          <w:ilvl w:val="0"/>
          <w:numId w:val="4"/>
        </w:numPr>
        <w:spacing w:after="120"/>
        <w:ind w:left="1440"/>
        <w:contextualSpacing w:val="0"/>
        <w:jc w:val="both"/>
        <w:rPr>
          <w:sz w:val="24"/>
          <w:szCs w:val="24"/>
        </w:rPr>
      </w:pPr>
      <w:r>
        <w:rPr>
          <w:sz w:val="24"/>
          <w:szCs w:val="24"/>
        </w:rPr>
        <w:t xml:space="preserve">In its </w:t>
      </w:r>
      <w:hyperlink r:id="rId8" w:history="1">
        <w:r w:rsidRPr="003E14CE">
          <w:rPr>
            <w:rStyle w:val="Hyperlink"/>
            <w:sz w:val="24"/>
            <w:szCs w:val="24"/>
          </w:rPr>
          <w:t>recent guidance</w:t>
        </w:r>
      </w:hyperlink>
      <w:r>
        <w:rPr>
          <w:sz w:val="24"/>
          <w:szCs w:val="24"/>
        </w:rPr>
        <w:t xml:space="preserve"> regarding COVID-19 vaccinations, the EEOC stated that “</w:t>
      </w:r>
      <w:r w:rsidRPr="003E14CE">
        <w:rPr>
          <w:sz w:val="24"/>
          <w:szCs w:val="24"/>
        </w:rPr>
        <w:t xml:space="preserve">EEOC guidance explains that the definition of religion is broad and protects beliefs, practices, and observances with which the employer may be unfamiliar. Therefore, the employer should ordinarily assume that an employee’s request for religious accommodation is based on a sincerely held religious belief, practice, or observance. However, if an employee requests a religious accommodation, and an employer is aware of facts that provide an objective basis for questioning either the religious nature or the sincerity of a particular belief, practice, or observance, the employer would be justified in requesting additional supporting information. </w:t>
      </w:r>
      <w:r w:rsidRPr="003E14CE">
        <w:rPr>
          <w:i/>
          <w:iCs/>
          <w:sz w:val="24"/>
          <w:szCs w:val="24"/>
        </w:rPr>
        <w:t>See</w:t>
      </w:r>
      <w:r w:rsidRPr="003E14CE">
        <w:rPr>
          <w:sz w:val="24"/>
          <w:szCs w:val="24"/>
        </w:rPr>
        <w:t xml:space="preserve"> also 29 CFR 1605.</w:t>
      </w:r>
      <w:r>
        <w:rPr>
          <w:sz w:val="24"/>
          <w:szCs w:val="24"/>
        </w:rPr>
        <w:t>”</w:t>
      </w:r>
    </w:p>
    <w:p w14:paraId="368270DD" w14:textId="6F2EB11B" w:rsidR="00D95EA8" w:rsidRDefault="006847B6" w:rsidP="009355CB">
      <w:pPr>
        <w:pStyle w:val="ListParagraph"/>
        <w:widowControl w:val="0"/>
        <w:numPr>
          <w:ilvl w:val="0"/>
          <w:numId w:val="4"/>
        </w:numPr>
        <w:spacing w:after="120"/>
        <w:ind w:left="1440"/>
        <w:contextualSpacing w:val="0"/>
        <w:jc w:val="both"/>
        <w:rPr>
          <w:sz w:val="24"/>
          <w:szCs w:val="24"/>
        </w:rPr>
      </w:pPr>
      <w:r>
        <w:rPr>
          <w:sz w:val="24"/>
          <w:szCs w:val="24"/>
        </w:rPr>
        <w:t>Em</w:t>
      </w:r>
      <w:r w:rsidR="00CF6CA7">
        <w:rPr>
          <w:sz w:val="24"/>
          <w:szCs w:val="24"/>
        </w:rPr>
        <w:t xml:space="preserve">ployers should </w:t>
      </w:r>
      <w:r w:rsidRPr="00D95EA8">
        <w:rPr>
          <w:sz w:val="24"/>
          <w:szCs w:val="24"/>
        </w:rPr>
        <w:t>be</w:t>
      </w:r>
      <w:r w:rsidR="00CF6CA7">
        <w:rPr>
          <w:sz w:val="24"/>
          <w:szCs w:val="24"/>
        </w:rPr>
        <w:t xml:space="preserve"> mindful and selective in</w:t>
      </w:r>
      <w:r w:rsidRPr="00D95EA8">
        <w:rPr>
          <w:sz w:val="24"/>
          <w:szCs w:val="24"/>
        </w:rPr>
        <w:t xml:space="preserve"> requesting </w:t>
      </w:r>
      <w:r w:rsidR="00CF6CA7">
        <w:rPr>
          <w:sz w:val="24"/>
          <w:szCs w:val="24"/>
        </w:rPr>
        <w:t>additional</w:t>
      </w:r>
      <w:r w:rsidRPr="00D95EA8">
        <w:rPr>
          <w:sz w:val="24"/>
          <w:szCs w:val="24"/>
        </w:rPr>
        <w:t xml:space="preserve"> verification and documentation</w:t>
      </w:r>
      <w:r w:rsidR="00CF6CA7">
        <w:rPr>
          <w:sz w:val="24"/>
          <w:szCs w:val="24"/>
        </w:rPr>
        <w:t xml:space="preserve"> regarding an employee’s sincerely held beliefs.</w:t>
      </w:r>
    </w:p>
    <w:p w14:paraId="6D4D41C8" w14:textId="77777777" w:rsidR="00DD3CD6" w:rsidRPr="00A55893" w:rsidRDefault="00DD3CD6" w:rsidP="00DD3CD6">
      <w:pPr>
        <w:pStyle w:val="ListParagraph"/>
        <w:widowControl w:val="0"/>
        <w:spacing w:after="120"/>
        <w:ind w:left="1440"/>
        <w:contextualSpacing w:val="0"/>
        <w:jc w:val="both"/>
        <w:rPr>
          <w:sz w:val="24"/>
          <w:szCs w:val="24"/>
        </w:rPr>
      </w:pPr>
    </w:p>
    <w:p w14:paraId="589FCE06" w14:textId="47E181ED" w:rsidR="005E7EA4" w:rsidRDefault="006847B6" w:rsidP="00DD3CD6">
      <w:pPr>
        <w:pStyle w:val="Title"/>
        <w:rPr>
          <w:b/>
          <w:sz w:val="40"/>
          <w:szCs w:val="40"/>
        </w:rPr>
      </w:pPr>
      <w:r w:rsidRPr="00DD3CD6">
        <w:rPr>
          <w:b/>
          <w:sz w:val="40"/>
          <w:szCs w:val="40"/>
        </w:rPr>
        <w:t>Would Providing a Reasonable Accommodation Impose an Undue Hardship on the Employer?</w:t>
      </w:r>
    </w:p>
    <w:p w14:paraId="31424D12" w14:textId="2B7363C4" w:rsidR="00DD3CD6" w:rsidRPr="00DD3CD6" w:rsidRDefault="0006676F" w:rsidP="00DD3CD6">
      <w:r>
        <w:rPr>
          <w:noProof/>
        </w:rPr>
        <mc:AlternateContent>
          <mc:Choice Requires="wps">
            <w:drawing>
              <wp:anchor distT="0" distB="0" distL="114300" distR="114300" simplePos="0" relativeHeight="251661312" behindDoc="0" locked="0" layoutInCell="1" allowOverlap="1" wp14:anchorId="04C7319F" wp14:editId="45589F6D">
                <wp:simplePos x="0" y="0"/>
                <wp:positionH relativeFrom="column">
                  <wp:posOffset>0</wp:posOffset>
                </wp:positionH>
                <wp:positionV relativeFrom="paragraph">
                  <wp:posOffset>82550</wp:posOffset>
                </wp:positionV>
                <wp:extent cx="6400800" cy="12700"/>
                <wp:effectExtent l="0" t="0" r="12700" b="12700"/>
                <wp:wrapNone/>
                <wp:docPr id="5" name="Straight Connector 5"/>
                <wp:cNvGraphicFramePr/>
                <a:graphic xmlns:a="http://schemas.openxmlformats.org/drawingml/2006/main">
                  <a:graphicData uri="http://schemas.microsoft.com/office/word/2010/wordprocessingShape">
                    <wps:wsp>
                      <wps:cNvCnPr/>
                      <wps:spPr>
                        <a:xfrm flipV="1">
                          <a:off x="0" y="0"/>
                          <a:ext cx="64008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ACC2B"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6.5pt" to="7in,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" strokecolor="#4472c4 [3204]" strokeweight=".5pt">
                <v:stroke joinstyle="miter"/>
              </v:line>
            </w:pict>
          </mc:Fallback>
        </mc:AlternateContent>
      </w:r>
    </w:p>
    <w:p w14:paraId="5D5ACE21" w14:textId="1112DE15" w:rsidR="005E7EA4" w:rsidRPr="00A55893" w:rsidRDefault="006847B6" w:rsidP="009355CB">
      <w:pPr>
        <w:widowControl w:val="0"/>
        <w:spacing w:after="120"/>
        <w:ind w:left="720"/>
        <w:jc w:val="both"/>
        <w:rPr>
          <w:b/>
          <w:bCs/>
          <w:sz w:val="24"/>
          <w:szCs w:val="24"/>
        </w:rPr>
      </w:pPr>
      <w:r w:rsidRPr="00A55893">
        <w:rPr>
          <w:b/>
          <w:bCs/>
          <w:sz w:val="24"/>
          <w:szCs w:val="24"/>
        </w:rPr>
        <w:t>THE LEGAL STANDARD</w:t>
      </w:r>
    </w:p>
    <w:p w14:paraId="344E9447" w14:textId="106A23A9" w:rsidR="00E51CF6" w:rsidRPr="00E51CF6" w:rsidRDefault="006847B6" w:rsidP="00E51CF6">
      <w:pPr>
        <w:pStyle w:val="ListParagraph"/>
        <w:widowControl w:val="0"/>
        <w:numPr>
          <w:ilvl w:val="0"/>
          <w:numId w:val="9"/>
        </w:numPr>
        <w:spacing w:after="120"/>
        <w:ind w:left="1440"/>
        <w:contextualSpacing w:val="0"/>
        <w:jc w:val="both"/>
        <w:rPr>
          <w:sz w:val="24"/>
          <w:szCs w:val="24"/>
        </w:rPr>
      </w:pPr>
      <w:r w:rsidRPr="00E51CF6">
        <w:rPr>
          <w:sz w:val="24"/>
          <w:szCs w:val="24"/>
        </w:rPr>
        <w:t>Undue hardship under Title VII is a “more than</w:t>
      </w:r>
      <w:r w:rsidR="007336A0">
        <w:rPr>
          <w:sz w:val="24"/>
          <w:szCs w:val="24"/>
        </w:rPr>
        <w:t xml:space="preserve"> a</w:t>
      </w:r>
      <w:r w:rsidRPr="00E51CF6">
        <w:rPr>
          <w:sz w:val="24"/>
          <w:szCs w:val="24"/>
        </w:rPr>
        <w:t xml:space="preserve"> </w:t>
      </w:r>
      <w:r w:rsidRPr="007336A0">
        <w:rPr>
          <w:i/>
          <w:iCs/>
          <w:sz w:val="24"/>
          <w:szCs w:val="24"/>
        </w:rPr>
        <w:t>de minimis</w:t>
      </w:r>
      <w:r w:rsidRPr="00E51CF6">
        <w:rPr>
          <w:sz w:val="24"/>
          <w:szCs w:val="24"/>
        </w:rPr>
        <w:t xml:space="preserve"> cost” to the employer, which is a </w:t>
      </w:r>
      <w:r w:rsidRPr="007336A0">
        <w:rPr>
          <w:i/>
          <w:iCs/>
          <w:sz w:val="24"/>
          <w:szCs w:val="24"/>
        </w:rPr>
        <w:t>lower</w:t>
      </w:r>
      <w:r w:rsidRPr="00E51CF6">
        <w:rPr>
          <w:sz w:val="24"/>
          <w:szCs w:val="24"/>
        </w:rPr>
        <w:t xml:space="preserve"> burden for the employer to meet than the undue hardship standard under the Americans with Disabilities Act (“significant difficulty or expense”). </w:t>
      </w:r>
    </w:p>
    <w:p w14:paraId="1BDE7478" w14:textId="3801B376" w:rsidR="005E7EA4" w:rsidRDefault="006847B6" w:rsidP="00BD2BA1">
      <w:pPr>
        <w:pStyle w:val="ListParagraph"/>
        <w:widowControl w:val="0"/>
        <w:numPr>
          <w:ilvl w:val="0"/>
          <w:numId w:val="9"/>
        </w:numPr>
        <w:spacing w:after="120"/>
        <w:ind w:left="1440"/>
        <w:contextualSpacing w:val="0"/>
        <w:jc w:val="both"/>
        <w:rPr>
          <w:sz w:val="24"/>
          <w:szCs w:val="24"/>
        </w:rPr>
      </w:pPr>
      <w:r w:rsidRPr="00BD2BA1">
        <w:rPr>
          <w:sz w:val="24"/>
          <w:szCs w:val="24"/>
        </w:rPr>
        <w:t xml:space="preserve">The </w:t>
      </w:r>
      <w:hyperlink r:id="rId9" w:anchor="h_43419997237501610749887061" w:history="1">
        <w:r w:rsidRPr="00BD2BA1">
          <w:rPr>
            <w:rStyle w:val="Hyperlink"/>
            <w:i/>
            <w:sz w:val="24"/>
            <w:szCs w:val="24"/>
          </w:rPr>
          <w:t>EEOC Religious Accommodation Guidance</w:t>
        </w:r>
      </w:hyperlink>
      <w:r w:rsidRPr="00BD2BA1">
        <w:rPr>
          <w:sz w:val="24"/>
          <w:szCs w:val="24"/>
        </w:rPr>
        <w:t xml:space="preserve"> states that some factors that are relevant to determining whether undue hardship exists include: “the type of workplace, the nature of the employee’s duties, the identifiable cost of the accommodation in relation to the size and operating costs of the employer, and the number of employees who will in fact </w:t>
      </w:r>
      <w:r w:rsidRPr="00BD2BA1">
        <w:rPr>
          <w:sz w:val="24"/>
          <w:szCs w:val="24"/>
        </w:rPr>
        <w:lastRenderedPageBreak/>
        <w:t>need a particular accommodation.”</w:t>
      </w:r>
    </w:p>
    <w:p w14:paraId="68901B70" w14:textId="1B601897" w:rsidR="00BD2BA1" w:rsidRPr="0008621D" w:rsidRDefault="006847B6" w:rsidP="0008621D">
      <w:pPr>
        <w:pStyle w:val="ListParagraph"/>
        <w:widowControl w:val="0"/>
        <w:numPr>
          <w:ilvl w:val="0"/>
          <w:numId w:val="9"/>
        </w:numPr>
        <w:spacing w:after="120"/>
        <w:ind w:left="1440"/>
        <w:contextualSpacing w:val="0"/>
        <w:jc w:val="both"/>
        <w:rPr>
          <w:sz w:val="24"/>
          <w:szCs w:val="24"/>
        </w:rPr>
      </w:pPr>
      <w:r w:rsidRPr="0039085D">
        <w:rPr>
          <w:sz w:val="24"/>
          <w:szCs w:val="24"/>
        </w:rPr>
        <w:t xml:space="preserve">Undue hardship can exist “where the accommodation diminishes efficiency in other jobs, infringes on other employees’ job rights or benefits, impairs workplace safety, or causes co-workers to carry the accommodated employee’s share of potentially hazardous or burdensome work.” </w:t>
      </w:r>
      <w:r w:rsidRPr="0008621D">
        <w:rPr>
          <w:sz w:val="24"/>
          <w:szCs w:val="24"/>
        </w:rPr>
        <w:t>Courts have also found that undue hardship can exist if the proposed accommodation would “either cause or increase safety risks or the risk of legal liability for the employer.”</w:t>
      </w:r>
    </w:p>
    <w:p w14:paraId="2C59E04B" w14:textId="488743FE" w:rsidR="0008621D" w:rsidRDefault="006847B6" w:rsidP="00BD2BA1">
      <w:pPr>
        <w:pStyle w:val="ListParagraph"/>
        <w:widowControl w:val="0"/>
        <w:numPr>
          <w:ilvl w:val="0"/>
          <w:numId w:val="9"/>
        </w:numPr>
        <w:spacing w:after="120"/>
        <w:ind w:left="1440"/>
        <w:contextualSpacing w:val="0"/>
        <w:jc w:val="both"/>
        <w:rPr>
          <w:sz w:val="24"/>
          <w:szCs w:val="24"/>
        </w:rPr>
      </w:pPr>
      <w:r w:rsidRPr="0008621D">
        <w:rPr>
          <w:sz w:val="24"/>
          <w:szCs w:val="24"/>
        </w:rPr>
        <w:t>An employer</w:t>
      </w:r>
      <w:r>
        <w:rPr>
          <w:sz w:val="24"/>
          <w:szCs w:val="24"/>
        </w:rPr>
        <w:t xml:space="preserve">’s </w:t>
      </w:r>
      <w:r w:rsidRPr="0008621D">
        <w:rPr>
          <w:sz w:val="24"/>
          <w:szCs w:val="24"/>
        </w:rPr>
        <w:t>mere assumption that many more people with the same religious practices as the individual being accommodated may also seek accommodation is not evidence of undue hardship.</w:t>
      </w:r>
    </w:p>
    <w:p w14:paraId="524CE1E6" w14:textId="0105238E" w:rsidR="005E7EA4" w:rsidRPr="00A55893" w:rsidRDefault="006847B6" w:rsidP="009355CB">
      <w:pPr>
        <w:widowControl w:val="0"/>
        <w:spacing w:after="120"/>
        <w:ind w:left="720"/>
        <w:jc w:val="both"/>
        <w:rPr>
          <w:b/>
          <w:bCs/>
          <w:sz w:val="24"/>
          <w:szCs w:val="24"/>
        </w:rPr>
      </w:pPr>
      <w:r w:rsidRPr="00A55893">
        <w:rPr>
          <w:b/>
          <w:bCs/>
          <w:sz w:val="24"/>
          <w:szCs w:val="24"/>
        </w:rPr>
        <w:t>PRACTICAL GUIDANCE</w:t>
      </w:r>
    </w:p>
    <w:p w14:paraId="3D31B6DC" w14:textId="73893183" w:rsidR="00576E24" w:rsidRDefault="006847B6" w:rsidP="007336A0">
      <w:pPr>
        <w:pStyle w:val="ListParagraph"/>
        <w:widowControl w:val="0"/>
        <w:numPr>
          <w:ilvl w:val="0"/>
          <w:numId w:val="9"/>
        </w:numPr>
        <w:spacing w:after="120"/>
        <w:ind w:left="1440"/>
        <w:contextualSpacing w:val="0"/>
        <w:jc w:val="both"/>
        <w:rPr>
          <w:sz w:val="24"/>
          <w:szCs w:val="24"/>
        </w:rPr>
      </w:pPr>
      <w:r>
        <w:rPr>
          <w:sz w:val="24"/>
          <w:szCs w:val="24"/>
        </w:rPr>
        <w:t>Employers should</w:t>
      </w:r>
      <w:r w:rsidRPr="00E51CF6">
        <w:rPr>
          <w:sz w:val="24"/>
          <w:szCs w:val="24"/>
        </w:rPr>
        <w:t xml:space="preserve"> explore multiple accommodation possibilities, and be sure it has concrete, non-speculative evidence of undue hardship on its business before denying </w:t>
      </w:r>
      <w:r w:rsidR="0008621D">
        <w:rPr>
          <w:sz w:val="24"/>
          <w:szCs w:val="24"/>
        </w:rPr>
        <w:t xml:space="preserve">any religious </w:t>
      </w:r>
      <w:r w:rsidRPr="00E51CF6">
        <w:rPr>
          <w:sz w:val="24"/>
          <w:szCs w:val="24"/>
        </w:rPr>
        <w:t>accommodation.</w:t>
      </w:r>
    </w:p>
    <w:p w14:paraId="58E2137C" w14:textId="737DC376" w:rsidR="007336A0" w:rsidRDefault="006847B6" w:rsidP="00F07F02">
      <w:pPr>
        <w:pStyle w:val="ListParagraph"/>
        <w:widowControl w:val="0"/>
        <w:numPr>
          <w:ilvl w:val="0"/>
          <w:numId w:val="9"/>
        </w:numPr>
        <w:spacing w:after="120"/>
        <w:ind w:left="1440"/>
        <w:contextualSpacing w:val="0"/>
        <w:jc w:val="both"/>
        <w:rPr>
          <w:sz w:val="24"/>
          <w:szCs w:val="24"/>
        </w:rPr>
      </w:pPr>
      <w:r w:rsidRPr="007336A0">
        <w:rPr>
          <w:sz w:val="24"/>
          <w:szCs w:val="24"/>
        </w:rPr>
        <w:t>If an employee’s proposed accommodation would pose an undue hardship, the employer should explore alternative accommodations.</w:t>
      </w:r>
      <w:r w:rsidR="0008621D">
        <w:rPr>
          <w:sz w:val="24"/>
          <w:szCs w:val="24"/>
        </w:rPr>
        <w:t xml:space="preserve"> In the context of </w:t>
      </w:r>
      <w:r w:rsidR="000D160F">
        <w:rPr>
          <w:sz w:val="24"/>
          <w:szCs w:val="24"/>
        </w:rPr>
        <w:t>a</w:t>
      </w:r>
      <w:r w:rsidR="0008621D">
        <w:rPr>
          <w:sz w:val="24"/>
          <w:szCs w:val="24"/>
        </w:rPr>
        <w:t xml:space="preserve"> COVID-19 vaccine</w:t>
      </w:r>
      <w:r w:rsidR="000D160F">
        <w:rPr>
          <w:sz w:val="24"/>
          <w:szCs w:val="24"/>
        </w:rPr>
        <w:t xml:space="preserve"> mandate</w:t>
      </w:r>
      <w:r w:rsidR="0008621D">
        <w:rPr>
          <w:sz w:val="24"/>
          <w:szCs w:val="24"/>
        </w:rPr>
        <w:t>, this might include requiring the</w:t>
      </w:r>
      <w:r w:rsidR="0008621D" w:rsidRPr="0008621D">
        <w:rPr>
          <w:sz w:val="24"/>
          <w:szCs w:val="24"/>
        </w:rPr>
        <w:t xml:space="preserve"> unvaccinated employee wear a face mask</w:t>
      </w:r>
      <w:r w:rsidR="0008621D">
        <w:rPr>
          <w:sz w:val="24"/>
          <w:szCs w:val="24"/>
        </w:rPr>
        <w:t xml:space="preserve"> in the workplace</w:t>
      </w:r>
      <w:r w:rsidR="0008621D" w:rsidRPr="0008621D">
        <w:rPr>
          <w:sz w:val="24"/>
          <w:szCs w:val="24"/>
        </w:rPr>
        <w:t xml:space="preserve">, work at a social distance from coworkers or non-employees, work a modified shift, get periodic tests for COVID-19, </w:t>
      </w:r>
      <w:r w:rsidR="000D160F">
        <w:rPr>
          <w:sz w:val="24"/>
          <w:szCs w:val="24"/>
        </w:rPr>
        <w:t xml:space="preserve">and/or </w:t>
      </w:r>
      <w:r w:rsidR="0008621D" w:rsidRPr="0008621D">
        <w:rPr>
          <w:sz w:val="24"/>
          <w:szCs w:val="24"/>
        </w:rPr>
        <w:t>be given the opportunity to telework</w:t>
      </w:r>
      <w:r w:rsidR="000D160F">
        <w:rPr>
          <w:sz w:val="24"/>
          <w:szCs w:val="24"/>
        </w:rPr>
        <w:t>.</w:t>
      </w:r>
    </w:p>
    <w:p w14:paraId="3AC06CD2" w14:textId="57937B90" w:rsidR="008E71D9" w:rsidRDefault="006847B6" w:rsidP="00F07F02">
      <w:pPr>
        <w:pStyle w:val="ListParagraph"/>
        <w:widowControl w:val="0"/>
        <w:numPr>
          <w:ilvl w:val="0"/>
          <w:numId w:val="9"/>
        </w:numPr>
        <w:spacing w:after="120"/>
        <w:ind w:left="1440"/>
        <w:contextualSpacing w:val="0"/>
        <w:jc w:val="both"/>
        <w:rPr>
          <w:sz w:val="24"/>
          <w:szCs w:val="24"/>
        </w:rPr>
      </w:pPr>
      <w:r w:rsidRPr="008E71D9">
        <w:rPr>
          <w:sz w:val="24"/>
          <w:szCs w:val="24"/>
        </w:rPr>
        <w:t xml:space="preserve">Employers should </w:t>
      </w:r>
      <w:r w:rsidR="00F61DBD">
        <w:rPr>
          <w:sz w:val="24"/>
          <w:szCs w:val="24"/>
        </w:rPr>
        <w:t>solicit</w:t>
      </w:r>
      <w:r w:rsidRPr="008E71D9">
        <w:rPr>
          <w:sz w:val="24"/>
          <w:szCs w:val="24"/>
        </w:rPr>
        <w:t xml:space="preserve"> input from the employee's superviso</w:t>
      </w:r>
      <w:r w:rsidR="00F61DBD">
        <w:rPr>
          <w:sz w:val="24"/>
          <w:szCs w:val="24"/>
        </w:rPr>
        <w:t>r ab</w:t>
      </w:r>
      <w:r w:rsidRPr="008E71D9">
        <w:rPr>
          <w:sz w:val="24"/>
          <w:szCs w:val="24"/>
        </w:rPr>
        <w:t xml:space="preserve">out the duties of the </w:t>
      </w:r>
      <w:r w:rsidR="00F61DBD">
        <w:rPr>
          <w:sz w:val="24"/>
          <w:szCs w:val="24"/>
        </w:rPr>
        <w:t xml:space="preserve">particular </w:t>
      </w:r>
      <w:r w:rsidRPr="008E71D9">
        <w:rPr>
          <w:sz w:val="24"/>
          <w:szCs w:val="24"/>
        </w:rPr>
        <w:t>position</w:t>
      </w:r>
      <w:r w:rsidR="00F61DBD">
        <w:rPr>
          <w:sz w:val="24"/>
          <w:szCs w:val="24"/>
        </w:rPr>
        <w:t>/the worksite</w:t>
      </w:r>
      <w:r w:rsidRPr="008E71D9">
        <w:rPr>
          <w:sz w:val="24"/>
          <w:szCs w:val="24"/>
        </w:rPr>
        <w:t>, to help determine what may be a</w:t>
      </w:r>
      <w:r w:rsidR="00F61DBD">
        <w:rPr>
          <w:sz w:val="24"/>
          <w:szCs w:val="24"/>
        </w:rPr>
        <w:t xml:space="preserve"> realistic </w:t>
      </w:r>
      <w:r w:rsidRPr="008E71D9">
        <w:rPr>
          <w:sz w:val="24"/>
          <w:szCs w:val="24"/>
        </w:rPr>
        <w:t>reasonable accommodation, including</w:t>
      </w:r>
      <w:r w:rsidR="001E1EEB">
        <w:rPr>
          <w:sz w:val="24"/>
          <w:szCs w:val="24"/>
        </w:rPr>
        <w:t xml:space="preserve"> any</w:t>
      </w:r>
      <w:r w:rsidRPr="008E71D9">
        <w:rPr>
          <w:sz w:val="24"/>
          <w:szCs w:val="24"/>
        </w:rPr>
        <w:t xml:space="preserve"> alternative accommodations to the one requested by the employee.</w:t>
      </w:r>
    </w:p>
    <w:p w14:paraId="4FF81CDA" w14:textId="77777777" w:rsidR="00DD3CD6" w:rsidRPr="00F07F02" w:rsidRDefault="00DD3CD6" w:rsidP="00DD3CD6">
      <w:pPr>
        <w:pStyle w:val="ListParagraph"/>
        <w:widowControl w:val="0"/>
        <w:spacing w:after="120"/>
        <w:ind w:left="1440"/>
        <w:contextualSpacing w:val="0"/>
        <w:jc w:val="both"/>
        <w:rPr>
          <w:sz w:val="24"/>
          <w:szCs w:val="24"/>
        </w:rPr>
      </w:pPr>
    </w:p>
    <w:p w14:paraId="52BA359C" w14:textId="1FA6F461" w:rsidR="00944750" w:rsidRDefault="006847B6" w:rsidP="00DD3CD6">
      <w:pPr>
        <w:pStyle w:val="Title"/>
        <w:rPr>
          <w:b/>
          <w:sz w:val="40"/>
          <w:szCs w:val="40"/>
        </w:rPr>
      </w:pPr>
      <w:r w:rsidRPr="00DD3CD6">
        <w:rPr>
          <w:b/>
          <w:sz w:val="40"/>
          <w:szCs w:val="40"/>
        </w:rPr>
        <w:t xml:space="preserve">PRACTICAL TIPS REGARDING THE ACCOMMODATION </w:t>
      </w:r>
      <w:r w:rsidR="00D95EA8" w:rsidRPr="00DD3CD6">
        <w:rPr>
          <w:b/>
          <w:sz w:val="40"/>
          <w:szCs w:val="40"/>
        </w:rPr>
        <w:t>PROCESS</w:t>
      </w:r>
    </w:p>
    <w:p w14:paraId="62F9E0A3" w14:textId="4CBA6C90" w:rsidR="00DD3CD6" w:rsidRPr="00DD3CD6" w:rsidRDefault="0006676F" w:rsidP="00DD3CD6">
      <w:r>
        <w:rPr>
          <w:noProof/>
        </w:rPr>
        <mc:AlternateContent>
          <mc:Choice Requires="wps">
            <w:drawing>
              <wp:anchor distT="0" distB="0" distL="114300" distR="114300" simplePos="0" relativeHeight="251662336" behindDoc="0" locked="0" layoutInCell="1" allowOverlap="1" wp14:anchorId="26E3B2D8" wp14:editId="7AE98056">
                <wp:simplePos x="0" y="0"/>
                <wp:positionH relativeFrom="column">
                  <wp:posOffset>12700</wp:posOffset>
                </wp:positionH>
                <wp:positionV relativeFrom="paragraph">
                  <wp:posOffset>78740</wp:posOffset>
                </wp:positionV>
                <wp:extent cx="6400800" cy="12700"/>
                <wp:effectExtent l="0" t="0" r="12700" b="12700"/>
                <wp:wrapNone/>
                <wp:docPr id="6" name="Straight Connector 6"/>
                <wp:cNvGraphicFramePr/>
                <a:graphic xmlns:a="http://schemas.openxmlformats.org/drawingml/2006/main">
                  <a:graphicData uri="http://schemas.microsoft.com/office/word/2010/wordprocessingShape">
                    <wps:wsp>
                      <wps:cNvCnPr/>
                      <wps:spPr>
                        <a:xfrm flipV="1">
                          <a:off x="0" y="0"/>
                          <a:ext cx="64008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640D0"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pt,6.2pt" to="505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" strokecolor="#4472c4 [3204]" strokeweight=".5pt">
                <v:stroke joinstyle="miter"/>
              </v:line>
            </w:pict>
          </mc:Fallback>
        </mc:AlternateContent>
      </w:r>
    </w:p>
    <w:p w14:paraId="3B14301C" w14:textId="48A3939E" w:rsidR="00D75C5F" w:rsidRDefault="006847B6" w:rsidP="009355CB">
      <w:pPr>
        <w:pStyle w:val="ListParagraph"/>
        <w:widowControl w:val="0"/>
        <w:numPr>
          <w:ilvl w:val="0"/>
          <w:numId w:val="7"/>
        </w:numPr>
        <w:spacing w:after="120"/>
        <w:contextualSpacing w:val="0"/>
        <w:jc w:val="both"/>
        <w:rPr>
          <w:sz w:val="24"/>
          <w:szCs w:val="24"/>
        </w:rPr>
      </w:pPr>
      <w:r w:rsidRPr="00A55893">
        <w:rPr>
          <w:sz w:val="24"/>
          <w:szCs w:val="24"/>
        </w:rPr>
        <w:t>In every case, the accommodation process should feature</w:t>
      </w:r>
      <w:r w:rsidR="0099790C">
        <w:rPr>
          <w:sz w:val="24"/>
          <w:szCs w:val="24"/>
        </w:rPr>
        <w:t xml:space="preserve"> an</w:t>
      </w:r>
      <w:r w:rsidRPr="00A55893">
        <w:rPr>
          <w:sz w:val="24"/>
          <w:szCs w:val="24"/>
        </w:rPr>
        <w:t xml:space="preserve"> open dialogue with the employee and documentation at every step.</w:t>
      </w:r>
      <w:r w:rsidR="00E037EB" w:rsidRPr="00A55893">
        <w:rPr>
          <w:sz w:val="24"/>
          <w:szCs w:val="24"/>
        </w:rPr>
        <w:t xml:space="preserve"> </w:t>
      </w:r>
    </w:p>
    <w:p w14:paraId="5517C73B" w14:textId="6E25BD7A" w:rsidR="00E037EB" w:rsidRPr="00A55893" w:rsidRDefault="006847B6" w:rsidP="009355CB">
      <w:pPr>
        <w:pStyle w:val="ListParagraph"/>
        <w:widowControl w:val="0"/>
        <w:numPr>
          <w:ilvl w:val="0"/>
          <w:numId w:val="7"/>
        </w:numPr>
        <w:spacing w:after="120"/>
        <w:contextualSpacing w:val="0"/>
        <w:jc w:val="both"/>
        <w:rPr>
          <w:sz w:val="24"/>
          <w:szCs w:val="24"/>
        </w:rPr>
      </w:pPr>
      <w:r w:rsidRPr="00A55893">
        <w:rPr>
          <w:sz w:val="24"/>
          <w:szCs w:val="24"/>
        </w:rPr>
        <w:t xml:space="preserve">When an employee’s religious beliefs or practices interfere with the employer’s decision to mandate the COVID-19 vaccination, the employee and </w:t>
      </w:r>
      <w:r w:rsidR="000B64A2" w:rsidRPr="00A55893">
        <w:rPr>
          <w:sz w:val="24"/>
          <w:szCs w:val="24"/>
        </w:rPr>
        <w:t>HR</w:t>
      </w:r>
      <w:r w:rsidRPr="00A55893">
        <w:rPr>
          <w:sz w:val="24"/>
          <w:szCs w:val="24"/>
        </w:rPr>
        <w:t xml:space="preserve"> should meet to discuss the conflict and potential accommodations. </w:t>
      </w:r>
      <w:r w:rsidRPr="00A55893">
        <w:rPr>
          <w:b/>
          <w:bCs/>
          <w:sz w:val="24"/>
          <w:szCs w:val="24"/>
        </w:rPr>
        <w:t xml:space="preserve">The following </w:t>
      </w:r>
      <w:r w:rsidR="001E589E">
        <w:rPr>
          <w:b/>
          <w:bCs/>
          <w:sz w:val="24"/>
          <w:szCs w:val="24"/>
        </w:rPr>
        <w:t>are recommended action items</w:t>
      </w:r>
      <w:r w:rsidR="00E2194F">
        <w:rPr>
          <w:b/>
          <w:bCs/>
          <w:sz w:val="24"/>
          <w:szCs w:val="24"/>
        </w:rPr>
        <w:t xml:space="preserve"> when engaging in the accommodation process</w:t>
      </w:r>
      <w:r w:rsidRPr="00A55893">
        <w:rPr>
          <w:b/>
          <w:bCs/>
          <w:sz w:val="24"/>
          <w:szCs w:val="24"/>
        </w:rPr>
        <w:t>:</w:t>
      </w:r>
    </w:p>
    <w:p w14:paraId="4061CBAC" w14:textId="6E264CAC" w:rsidR="001E589E" w:rsidRDefault="006847B6" w:rsidP="009355CB">
      <w:pPr>
        <w:pStyle w:val="ListParagraph"/>
        <w:widowControl w:val="0"/>
        <w:numPr>
          <w:ilvl w:val="1"/>
          <w:numId w:val="7"/>
        </w:numPr>
        <w:spacing w:after="120"/>
        <w:contextualSpacing w:val="0"/>
        <w:jc w:val="both"/>
        <w:rPr>
          <w:sz w:val="24"/>
          <w:szCs w:val="24"/>
        </w:rPr>
      </w:pPr>
      <w:r w:rsidRPr="00D75C5F">
        <w:rPr>
          <w:sz w:val="24"/>
          <w:szCs w:val="24"/>
        </w:rPr>
        <w:t>Employ</w:t>
      </w:r>
      <w:r>
        <w:rPr>
          <w:sz w:val="24"/>
          <w:szCs w:val="24"/>
        </w:rPr>
        <w:t xml:space="preserve">ers </w:t>
      </w:r>
      <w:r w:rsidRPr="00D75C5F">
        <w:rPr>
          <w:sz w:val="24"/>
          <w:szCs w:val="24"/>
        </w:rPr>
        <w:t>should provide</w:t>
      </w:r>
      <w:r>
        <w:rPr>
          <w:sz w:val="24"/>
          <w:szCs w:val="24"/>
        </w:rPr>
        <w:t xml:space="preserve"> employees with </w:t>
      </w:r>
      <w:r w:rsidRPr="00D75C5F">
        <w:rPr>
          <w:sz w:val="24"/>
          <w:szCs w:val="24"/>
        </w:rPr>
        <w:t xml:space="preserve">a form to </w:t>
      </w:r>
      <w:r>
        <w:rPr>
          <w:sz w:val="24"/>
          <w:szCs w:val="24"/>
        </w:rPr>
        <w:t>document</w:t>
      </w:r>
      <w:r w:rsidRPr="00D75C5F">
        <w:rPr>
          <w:sz w:val="24"/>
          <w:szCs w:val="24"/>
        </w:rPr>
        <w:t xml:space="preserve"> their </w:t>
      </w:r>
      <w:r>
        <w:rPr>
          <w:sz w:val="24"/>
          <w:szCs w:val="24"/>
        </w:rPr>
        <w:t xml:space="preserve">religious </w:t>
      </w:r>
      <w:r>
        <w:rPr>
          <w:sz w:val="24"/>
          <w:szCs w:val="24"/>
        </w:rPr>
        <w:lastRenderedPageBreak/>
        <w:t xml:space="preserve">accommodation </w:t>
      </w:r>
      <w:r w:rsidRPr="00D75C5F">
        <w:rPr>
          <w:sz w:val="24"/>
          <w:szCs w:val="24"/>
        </w:rPr>
        <w:t>request in writing and provide additional details as necessary. The form should request information relating to the accommodation request and include a certification from the employee that the statements</w:t>
      </w:r>
      <w:r>
        <w:rPr>
          <w:sz w:val="24"/>
          <w:szCs w:val="24"/>
        </w:rPr>
        <w:t xml:space="preserve"> </w:t>
      </w:r>
      <w:r w:rsidRPr="00D75C5F">
        <w:rPr>
          <w:sz w:val="24"/>
          <w:szCs w:val="24"/>
        </w:rPr>
        <w:t xml:space="preserve">and information </w:t>
      </w:r>
      <w:r>
        <w:rPr>
          <w:sz w:val="24"/>
          <w:szCs w:val="24"/>
        </w:rPr>
        <w:t xml:space="preserve">provided </w:t>
      </w:r>
      <w:r w:rsidRPr="00D75C5F">
        <w:rPr>
          <w:sz w:val="24"/>
          <w:szCs w:val="24"/>
        </w:rPr>
        <w:t>are true and accurate.</w:t>
      </w:r>
    </w:p>
    <w:p w14:paraId="63912862" w14:textId="478E7D18" w:rsidR="00E037EB" w:rsidRPr="00A55893" w:rsidRDefault="006847B6" w:rsidP="009355CB">
      <w:pPr>
        <w:pStyle w:val="ListParagraph"/>
        <w:widowControl w:val="0"/>
        <w:numPr>
          <w:ilvl w:val="1"/>
          <w:numId w:val="7"/>
        </w:numPr>
        <w:spacing w:after="120"/>
        <w:contextualSpacing w:val="0"/>
        <w:jc w:val="both"/>
        <w:rPr>
          <w:sz w:val="24"/>
          <w:szCs w:val="24"/>
        </w:rPr>
      </w:pPr>
      <w:r w:rsidRPr="00A55893">
        <w:rPr>
          <w:sz w:val="24"/>
          <w:szCs w:val="24"/>
        </w:rPr>
        <w:t>HR should ask enough questions to understand what the religious belief or practice is, how it causes a conflict</w:t>
      </w:r>
      <w:r w:rsidR="00F8633F" w:rsidRPr="00A55893">
        <w:rPr>
          <w:sz w:val="24"/>
          <w:szCs w:val="24"/>
        </w:rPr>
        <w:t xml:space="preserve"> with the</w:t>
      </w:r>
      <w:r w:rsidR="001E589E">
        <w:rPr>
          <w:sz w:val="24"/>
          <w:szCs w:val="24"/>
        </w:rPr>
        <w:t xml:space="preserve"> employer’s</w:t>
      </w:r>
      <w:r w:rsidR="00F8633F" w:rsidRPr="00A55893">
        <w:rPr>
          <w:sz w:val="24"/>
          <w:szCs w:val="24"/>
        </w:rPr>
        <w:t xml:space="preserve"> COVID-19 vaccination mandate</w:t>
      </w:r>
      <w:r w:rsidRPr="00A55893">
        <w:rPr>
          <w:sz w:val="24"/>
          <w:szCs w:val="24"/>
        </w:rPr>
        <w:t>, and how the employee suggests the conflict be resolved</w:t>
      </w:r>
      <w:r w:rsidR="00F8633F" w:rsidRPr="00A55893">
        <w:rPr>
          <w:sz w:val="24"/>
          <w:szCs w:val="24"/>
        </w:rPr>
        <w:t xml:space="preserve"> (e.g., remain unvaccinated but work with a mask/socially distanced from others within the workplace, work from home, etc.).</w:t>
      </w:r>
    </w:p>
    <w:p w14:paraId="3DCC017E" w14:textId="6B416A0E" w:rsidR="00E037EB" w:rsidRPr="00A55893" w:rsidRDefault="006847B6" w:rsidP="009355CB">
      <w:pPr>
        <w:pStyle w:val="ListParagraph"/>
        <w:widowControl w:val="0"/>
        <w:numPr>
          <w:ilvl w:val="1"/>
          <w:numId w:val="7"/>
        </w:numPr>
        <w:spacing w:after="120"/>
        <w:contextualSpacing w:val="0"/>
        <w:jc w:val="both"/>
        <w:rPr>
          <w:sz w:val="24"/>
          <w:szCs w:val="24"/>
        </w:rPr>
      </w:pPr>
      <w:r w:rsidRPr="00A55893">
        <w:rPr>
          <w:sz w:val="24"/>
          <w:szCs w:val="24"/>
        </w:rPr>
        <w:t xml:space="preserve">If a belief or practice is unfamiliar to HR, it is acceptable to ask employees if they have written information that describes the belief or practice or can point them to a website that would give more information. It is </w:t>
      </w:r>
      <w:r w:rsidRPr="00A55893">
        <w:rPr>
          <w:b/>
          <w:bCs/>
          <w:sz w:val="24"/>
          <w:szCs w:val="24"/>
        </w:rPr>
        <w:t>not</w:t>
      </w:r>
      <w:r w:rsidRPr="00A55893">
        <w:rPr>
          <w:sz w:val="24"/>
          <w:szCs w:val="24"/>
        </w:rPr>
        <w:t xml:space="preserve"> appropriate to demand a note from a priest or minister; many religious traditions may not have persons occupying comparable leadership positions. </w:t>
      </w:r>
    </w:p>
    <w:p w14:paraId="10F90C72" w14:textId="20A876B0" w:rsidR="00E037EB" w:rsidRPr="00A55893" w:rsidRDefault="006847B6" w:rsidP="009355CB">
      <w:pPr>
        <w:pStyle w:val="ListParagraph"/>
        <w:widowControl w:val="0"/>
        <w:numPr>
          <w:ilvl w:val="1"/>
          <w:numId w:val="7"/>
        </w:numPr>
        <w:spacing w:after="120"/>
        <w:contextualSpacing w:val="0"/>
        <w:jc w:val="both"/>
        <w:rPr>
          <w:sz w:val="24"/>
          <w:szCs w:val="24"/>
        </w:rPr>
      </w:pPr>
      <w:r w:rsidRPr="00A55893">
        <w:rPr>
          <w:sz w:val="24"/>
          <w:szCs w:val="24"/>
        </w:rPr>
        <w:t xml:space="preserve">This initial discussion </w:t>
      </w:r>
      <w:r w:rsidR="0089187D">
        <w:rPr>
          <w:sz w:val="24"/>
          <w:szCs w:val="24"/>
        </w:rPr>
        <w:t>should</w:t>
      </w:r>
      <w:r w:rsidRPr="00A55893">
        <w:rPr>
          <w:sz w:val="24"/>
          <w:szCs w:val="24"/>
        </w:rPr>
        <w:t xml:space="preserve"> be documented</w:t>
      </w:r>
      <w:r w:rsidR="0089187D">
        <w:rPr>
          <w:sz w:val="24"/>
          <w:szCs w:val="24"/>
        </w:rPr>
        <w:t xml:space="preserve">, and </w:t>
      </w:r>
      <w:r w:rsidRPr="00A55893">
        <w:rPr>
          <w:sz w:val="24"/>
          <w:szCs w:val="24"/>
        </w:rPr>
        <w:t xml:space="preserve">the documentation </w:t>
      </w:r>
      <w:r w:rsidR="0089187D">
        <w:rPr>
          <w:sz w:val="24"/>
          <w:szCs w:val="24"/>
        </w:rPr>
        <w:t>should</w:t>
      </w:r>
      <w:r w:rsidRPr="00A55893">
        <w:rPr>
          <w:sz w:val="24"/>
          <w:szCs w:val="24"/>
        </w:rPr>
        <w:t xml:space="preserve">, at a minimum, outline the belief or practice at issue, the nature of the conflict between that belief or practice and the employer’s </w:t>
      </w:r>
      <w:r w:rsidR="0089187D">
        <w:rPr>
          <w:sz w:val="24"/>
          <w:szCs w:val="24"/>
        </w:rPr>
        <w:t>vaccination mandate</w:t>
      </w:r>
      <w:r w:rsidRPr="00A55893">
        <w:rPr>
          <w:sz w:val="24"/>
          <w:szCs w:val="24"/>
        </w:rPr>
        <w:t xml:space="preserve">, and any accommodations the employee proposes. If the situation warrants it, the </w:t>
      </w:r>
      <w:r w:rsidR="00F8633F" w:rsidRPr="00A55893">
        <w:rPr>
          <w:sz w:val="24"/>
          <w:szCs w:val="24"/>
        </w:rPr>
        <w:t>employer</w:t>
      </w:r>
      <w:r w:rsidRPr="00A55893">
        <w:rPr>
          <w:sz w:val="24"/>
          <w:szCs w:val="24"/>
        </w:rPr>
        <w:t xml:space="preserve"> should brainstorm with the employee about alternative solutions to the conflict. </w:t>
      </w:r>
    </w:p>
    <w:p w14:paraId="6FDF2CD8" w14:textId="7988E00B" w:rsidR="00F8633F" w:rsidRPr="00A55893" w:rsidRDefault="006847B6" w:rsidP="009355CB">
      <w:pPr>
        <w:pStyle w:val="ListParagraph"/>
        <w:widowControl w:val="0"/>
        <w:numPr>
          <w:ilvl w:val="1"/>
          <w:numId w:val="7"/>
        </w:numPr>
        <w:spacing w:after="120"/>
        <w:contextualSpacing w:val="0"/>
        <w:jc w:val="both"/>
        <w:rPr>
          <w:sz w:val="24"/>
          <w:szCs w:val="24"/>
        </w:rPr>
      </w:pPr>
      <w:r w:rsidRPr="00A55893">
        <w:rPr>
          <w:sz w:val="24"/>
          <w:szCs w:val="24"/>
        </w:rPr>
        <w:t xml:space="preserve">After the initial meeting with the employee, </w:t>
      </w:r>
      <w:r w:rsidR="000B64A2" w:rsidRPr="00A55893">
        <w:rPr>
          <w:sz w:val="24"/>
          <w:szCs w:val="24"/>
        </w:rPr>
        <w:t>HR</w:t>
      </w:r>
      <w:r w:rsidRPr="00A55893">
        <w:rPr>
          <w:sz w:val="24"/>
          <w:szCs w:val="24"/>
        </w:rPr>
        <w:t xml:space="preserve"> should continue to think through the proposed accommodation and any alternative accommodations that might be appropriate</w:t>
      </w:r>
      <w:r w:rsidR="000B64A2" w:rsidRPr="00A55893">
        <w:rPr>
          <w:sz w:val="24"/>
          <w:szCs w:val="24"/>
        </w:rPr>
        <w:t>.</w:t>
      </w:r>
      <w:r w:rsidR="000B64A2" w:rsidRPr="00A55893">
        <w:rPr>
          <w:sz w:val="22"/>
          <w:szCs w:val="22"/>
        </w:rPr>
        <w:t xml:space="preserve"> </w:t>
      </w:r>
      <w:r w:rsidR="000B64A2" w:rsidRPr="00A55893">
        <w:rPr>
          <w:sz w:val="24"/>
          <w:szCs w:val="24"/>
        </w:rPr>
        <w:t>When thinking through the situation, HR must assess each possible accommodation in terms of the potential monetary cost to the employer, safety factors, the impact of the religious accommodation on other employees, and any other potential undue hardship to the business.</w:t>
      </w:r>
      <w:r w:rsidR="005E7EA4" w:rsidRPr="00A55893">
        <w:rPr>
          <w:sz w:val="24"/>
          <w:szCs w:val="24"/>
        </w:rPr>
        <w:t xml:space="preserve"> Regarding potential reasonable accommodations in connection with the COVID-19 vaccination, the EEOC </w:t>
      </w:r>
      <w:hyperlink r:id="rId10" w:history="1">
        <w:r w:rsidR="005E7EA4" w:rsidRPr="00BC3B18">
          <w:rPr>
            <w:rStyle w:val="Hyperlink"/>
            <w:sz w:val="24"/>
            <w:szCs w:val="24"/>
          </w:rPr>
          <w:t>recently stated</w:t>
        </w:r>
      </w:hyperlink>
      <w:r w:rsidR="005E7EA4" w:rsidRPr="00A55893">
        <w:rPr>
          <w:sz w:val="24"/>
          <w:szCs w:val="24"/>
        </w:rPr>
        <w:t xml:space="preserve"> “[f]or example, as a reasonable accommodation, an unvaccinated employee entering the workplace might wear a face mask, work at a social distance from coworkers or non-employees, work a modified shift, get periodic tests for COVID-19, be given the opportunity to telework, or finally, accept a reassignment.”</w:t>
      </w:r>
    </w:p>
    <w:p w14:paraId="064C23C5" w14:textId="1CE5E375" w:rsidR="000B64A2" w:rsidRPr="00A55893" w:rsidRDefault="006847B6" w:rsidP="009355CB">
      <w:pPr>
        <w:pStyle w:val="ListParagraph"/>
        <w:widowControl w:val="0"/>
        <w:numPr>
          <w:ilvl w:val="1"/>
          <w:numId w:val="7"/>
        </w:numPr>
        <w:spacing w:after="120"/>
        <w:contextualSpacing w:val="0"/>
        <w:jc w:val="both"/>
        <w:rPr>
          <w:sz w:val="24"/>
          <w:szCs w:val="24"/>
        </w:rPr>
      </w:pPr>
      <w:r w:rsidRPr="00A55893">
        <w:rPr>
          <w:sz w:val="24"/>
          <w:szCs w:val="24"/>
        </w:rPr>
        <w:t xml:space="preserve">If no undue hardship is identified, the </w:t>
      </w:r>
      <w:r w:rsidR="001E589E">
        <w:rPr>
          <w:sz w:val="24"/>
          <w:szCs w:val="24"/>
        </w:rPr>
        <w:t xml:space="preserve">employer can </w:t>
      </w:r>
      <w:r w:rsidRPr="00A55893">
        <w:rPr>
          <w:sz w:val="24"/>
          <w:szCs w:val="24"/>
        </w:rPr>
        <w:t>select a reasonable accommodation. As long as the provided accommodation fully eliminates the conflict between the employee’s work requirements and religious requirements, the employer is not required to offer the specific accommodation the employee prefers. More than one reasonable accommodation may be identified, and options may be offered if each option fully eliminates the conflict and does not result in undue hardship to the employer.</w:t>
      </w:r>
    </w:p>
    <w:p w14:paraId="0D5F7389" w14:textId="3D02E6B4" w:rsidR="00C25E6F" w:rsidRPr="00A55893" w:rsidRDefault="006847B6" w:rsidP="009355CB">
      <w:pPr>
        <w:pStyle w:val="ListParagraph"/>
        <w:widowControl w:val="0"/>
        <w:numPr>
          <w:ilvl w:val="1"/>
          <w:numId w:val="7"/>
        </w:numPr>
        <w:spacing w:after="120"/>
        <w:contextualSpacing w:val="0"/>
        <w:jc w:val="both"/>
        <w:rPr>
          <w:sz w:val="24"/>
          <w:szCs w:val="24"/>
        </w:rPr>
      </w:pPr>
      <w:r w:rsidRPr="00A55893">
        <w:rPr>
          <w:sz w:val="24"/>
          <w:szCs w:val="24"/>
        </w:rPr>
        <w:t>If an accommodation is not readily apparent, then management should have further fact-</w:t>
      </w:r>
      <w:r w:rsidRPr="00A55893">
        <w:rPr>
          <w:sz w:val="24"/>
          <w:szCs w:val="24"/>
        </w:rPr>
        <w:lastRenderedPageBreak/>
        <w:t xml:space="preserve">gathering conversations with the employee and/or seek assistance of counsel. Several perspectives are always better than one. In addition, the case law teaches that all stakeholders need to be involved in an accommodation discussion. If third parties would be instrumental in implementing an accommodation, it may be prudent to make them part of the conversation before an accommodation is finally allowed or denied. </w:t>
      </w:r>
    </w:p>
    <w:p w14:paraId="056246C6" w14:textId="3FDFC069" w:rsidR="009F2EA0" w:rsidRPr="00A55893" w:rsidRDefault="006847B6" w:rsidP="009355CB">
      <w:pPr>
        <w:pStyle w:val="ListParagraph"/>
        <w:widowControl w:val="0"/>
        <w:numPr>
          <w:ilvl w:val="1"/>
          <w:numId w:val="7"/>
        </w:numPr>
        <w:spacing w:after="120"/>
        <w:contextualSpacing w:val="0"/>
        <w:jc w:val="both"/>
        <w:rPr>
          <w:sz w:val="24"/>
          <w:szCs w:val="24"/>
        </w:rPr>
      </w:pPr>
      <w:r w:rsidRPr="00A55893">
        <w:rPr>
          <w:sz w:val="24"/>
          <w:szCs w:val="24"/>
        </w:rPr>
        <w:t>Once an accommodation is selected, the supervisor or HR should meet with the employee and explain the accommodation. If the employee accepts, the supervisor or HR should take steps to implement the accommodation. If the employee refuses the proposed accommodation, everyone should work together to try to resolve the matter.</w:t>
      </w:r>
    </w:p>
    <w:p w14:paraId="3DB7BBA1" w14:textId="7154251D" w:rsidR="009F2EA0" w:rsidRPr="00A55893" w:rsidRDefault="006847B6" w:rsidP="009355CB">
      <w:pPr>
        <w:pStyle w:val="ListParagraph"/>
        <w:widowControl w:val="0"/>
        <w:numPr>
          <w:ilvl w:val="1"/>
          <w:numId w:val="7"/>
        </w:numPr>
        <w:spacing w:after="120"/>
        <w:contextualSpacing w:val="0"/>
        <w:jc w:val="both"/>
        <w:rPr>
          <w:sz w:val="24"/>
          <w:szCs w:val="24"/>
        </w:rPr>
      </w:pPr>
      <w:r w:rsidRPr="00A55893">
        <w:rPr>
          <w:sz w:val="24"/>
          <w:szCs w:val="24"/>
        </w:rPr>
        <w:t>The employer’s responsibility for responding to a request for accommodation is fulfilled when it provides a reasonable accommodation to the employee, even if the employee refuses the requested accommodation. Accordingly, the employee should acknowledge each offer of accommodation in writing and indicate in writing whether it is accepted or rejected.</w:t>
      </w:r>
    </w:p>
    <w:p w14:paraId="4420B9B4" w14:textId="31D931B2" w:rsidR="009F2EA0" w:rsidRDefault="006847B6" w:rsidP="009355CB">
      <w:pPr>
        <w:pStyle w:val="ListParagraph"/>
        <w:widowControl w:val="0"/>
        <w:numPr>
          <w:ilvl w:val="1"/>
          <w:numId w:val="7"/>
        </w:numPr>
        <w:spacing w:after="120"/>
        <w:contextualSpacing w:val="0"/>
        <w:jc w:val="both"/>
        <w:rPr>
          <w:sz w:val="24"/>
          <w:szCs w:val="24"/>
        </w:rPr>
      </w:pPr>
      <w:r w:rsidRPr="00A55893">
        <w:rPr>
          <w:sz w:val="24"/>
          <w:szCs w:val="24"/>
        </w:rPr>
        <w:t xml:space="preserve">If management determines that it is not possible to offer </w:t>
      </w:r>
      <w:r w:rsidRPr="001E1EEB">
        <w:rPr>
          <w:i/>
          <w:iCs/>
          <w:sz w:val="24"/>
          <w:szCs w:val="24"/>
        </w:rPr>
        <w:t>any</w:t>
      </w:r>
      <w:r w:rsidRPr="00A55893">
        <w:rPr>
          <w:sz w:val="24"/>
          <w:szCs w:val="24"/>
        </w:rPr>
        <w:t xml:space="preserve"> reasonable accommodation without causing undue hardship, HR should communicate that determination to the employee in writing</w:t>
      </w:r>
      <w:r w:rsidR="007B6190">
        <w:rPr>
          <w:sz w:val="24"/>
          <w:szCs w:val="24"/>
        </w:rPr>
        <w:t>.</w:t>
      </w:r>
    </w:p>
    <w:p w14:paraId="7F135EE8" w14:textId="0150BCC5" w:rsidR="001E1EEB" w:rsidRPr="00A55893" w:rsidRDefault="006847B6" w:rsidP="009355CB">
      <w:pPr>
        <w:pStyle w:val="ListParagraph"/>
        <w:widowControl w:val="0"/>
        <w:numPr>
          <w:ilvl w:val="1"/>
          <w:numId w:val="7"/>
        </w:numPr>
        <w:spacing w:after="120"/>
        <w:contextualSpacing w:val="0"/>
        <w:jc w:val="both"/>
        <w:rPr>
          <w:sz w:val="24"/>
          <w:szCs w:val="24"/>
        </w:rPr>
      </w:pPr>
      <w:r>
        <w:rPr>
          <w:sz w:val="24"/>
          <w:szCs w:val="24"/>
        </w:rPr>
        <w:t xml:space="preserve">Supervisors should be reminded that </w:t>
      </w:r>
      <w:r w:rsidRPr="001E1EEB">
        <w:rPr>
          <w:sz w:val="24"/>
          <w:szCs w:val="24"/>
        </w:rPr>
        <w:t xml:space="preserve">it is unlawful to disclose that an employee is receiving a reasonable accommodation or to retaliate against an employee for requesting </w:t>
      </w:r>
      <w:r w:rsidR="007B6190">
        <w:rPr>
          <w:sz w:val="24"/>
          <w:szCs w:val="24"/>
        </w:rPr>
        <w:t xml:space="preserve">and/or receiving </w:t>
      </w:r>
      <w:r w:rsidRPr="001E1EEB">
        <w:rPr>
          <w:sz w:val="24"/>
          <w:szCs w:val="24"/>
        </w:rPr>
        <w:t>an accommodation.</w:t>
      </w:r>
    </w:p>
    <w:sectPr w:rsidR="001E1EEB" w:rsidRPr="00A55893" w:rsidSect="0006676F">
      <w:footerReference w:type="default" r:id="rId11"/>
      <w:headerReference w:type="first" r:id="rId12"/>
      <w:footerReference w:type="first" r:id="rId13"/>
      <w:pgSz w:w="12240" w:h="15840" w:code="1"/>
      <w:pgMar w:top="1440" w:right="1080" w:bottom="1440" w:left="108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08655" w14:textId="77777777" w:rsidR="0005018A" w:rsidRDefault="0005018A">
      <w:pPr>
        <w:spacing w:after="0" w:line="240" w:lineRule="auto"/>
      </w:pPr>
      <w:r>
        <w:separator/>
      </w:r>
    </w:p>
  </w:endnote>
  <w:endnote w:type="continuationSeparator" w:id="0">
    <w:p w14:paraId="06FFD71D" w14:textId="77777777" w:rsidR="0005018A" w:rsidRDefault="0005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FC656" w14:textId="3BCD9C01" w:rsidR="005C24AC" w:rsidRPr="005C24AC" w:rsidRDefault="005C24AC" w:rsidP="005C24AC">
    <w:pP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F34F" w14:textId="7F9615C1" w:rsidR="005C24AC" w:rsidRPr="005C24AC" w:rsidRDefault="005C24AC" w:rsidP="005C24AC">
    <w:pP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1EEB3" w14:textId="77777777" w:rsidR="0005018A" w:rsidRDefault="0005018A">
      <w:pPr>
        <w:spacing w:after="0" w:line="240" w:lineRule="auto"/>
      </w:pPr>
      <w:r>
        <w:separator/>
      </w:r>
    </w:p>
  </w:footnote>
  <w:footnote w:type="continuationSeparator" w:id="0">
    <w:p w14:paraId="7119716B" w14:textId="77777777" w:rsidR="0005018A" w:rsidRDefault="00050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546BB" w14:textId="4E47C7EA" w:rsidR="00CD3134" w:rsidRPr="00CD3134" w:rsidRDefault="00A95F24" w:rsidP="00CD3134">
    <w:pPr>
      <w:pStyle w:val="Header"/>
      <w:jc w:val="center"/>
      <w:rPr>
        <w:i/>
        <w:iCs/>
        <w:color w:val="FF0000"/>
        <w:sz w:val="22"/>
        <w:szCs w:val="22"/>
      </w:rPr>
    </w:pPr>
    <w:r>
      <w:rPr>
        <w:i/>
        <w:iCs/>
        <w:noProof/>
        <w:color w:val="FF0000"/>
        <w:sz w:val="22"/>
        <w:szCs w:val="22"/>
      </w:rPr>
      <w:drawing>
        <wp:inline distT="0" distB="0" distL="0" distR="0" wp14:anchorId="01EE9566" wp14:editId="2E742627">
          <wp:extent cx="2819400" cy="7434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GMA-Logo-Acronym-2018.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942464" cy="775901"/>
                  </a:xfrm>
                  <a:prstGeom prst="rect">
                    <a:avLst/>
                  </a:prstGeom>
                </pic:spPr>
              </pic:pic>
            </a:graphicData>
          </a:graphic>
        </wp:inline>
      </w:drawing>
    </w:r>
  </w:p>
  <w:p w14:paraId="707DB722" w14:textId="59A4DB83" w:rsidR="00CD3134" w:rsidRPr="00CD3134" w:rsidRDefault="00CD3134" w:rsidP="00CD3134">
    <w:pPr>
      <w:pStyle w:val="Header"/>
      <w:rPr>
        <w:b/>
        <w:iCs/>
        <w:color w:val="002060"/>
        <w:sz w:val="22"/>
        <w:szCs w:val="22"/>
      </w:rPr>
    </w:pPr>
    <w:r w:rsidRPr="00CD3134">
      <w:rPr>
        <w:b/>
        <w:iCs/>
        <w:color w:val="002060"/>
        <w:sz w:val="22"/>
        <w:szCs w:val="22"/>
      </w:rPr>
      <w:t>This sample draft developed by legal counsel, Littler, is intended to provide guidance. Please consult the appropriate parties to ensure that it works for your individual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057A"/>
    <w:multiLevelType w:val="hybridMultilevel"/>
    <w:tmpl w:val="F60231BA"/>
    <w:lvl w:ilvl="0" w:tplc="AB9631E0">
      <w:start w:val="1"/>
      <w:numFmt w:val="decimal"/>
      <w:lvlText w:val="%1."/>
      <w:lvlJc w:val="left"/>
      <w:pPr>
        <w:ind w:left="1080" w:hanging="360"/>
      </w:pPr>
    </w:lvl>
    <w:lvl w:ilvl="1" w:tplc="C3AE6F52" w:tentative="1">
      <w:start w:val="1"/>
      <w:numFmt w:val="lowerLetter"/>
      <w:lvlText w:val="%2."/>
      <w:lvlJc w:val="left"/>
      <w:pPr>
        <w:ind w:left="1800" w:hanging="360"/>
      </w:pPr>
    </w:lvl>
    <w:lvl w:ilvl="2" w:tplc="F900F8F4" w:tentative="1">
      <w:start w:val="1"/>
      <w:numFmt w:val="lowerRoman"/>
      <w:lvlText w:val="%3."/>
      <w:lvlJc w:val="right"/>
      <w:pPr>
        <w:ind w:left="2520" w:hanging="180"/>
      </w:pPr>
    </w:lvl>
    <w:lvl w:ilvl="3" w:tplc="44E0B6B8" w:tentative="1">
      <w:start w:val="1"/>
      <w:numFmt w:val="decimal"/>
      <w:lvlText w:val="%4."/>
      <w:lvlJc w:val="left"/>
      <w:pPr>
        <w:ind w:left="3240" w:hanging="360"/>
      </w:pPr>
    </w:lvl>
    <w:lvl w:ilvl="4" w:tplc="27AA228C" w:tentative="1">
      <w:start w:val="1"/>
      <w:numFmt w:val="lowerLetter"/>
      <w:lvlText w:val="%5."/>
      <w:lvlJc w:val="left"/>
      <w:pPr>
        <w:ind w:left="3960" w:hanging="360"/>
      </w:pPr>
    </w:lvl>
    <w:lvl w:ilvl="5" w:tplc="AFC8FF3C" w:tentative="1">
      <w:start w:val="1"/>
      <w:numFmt w:val="lowerRoman"/>
      <w:lvlText w:val="%6."/>
      <w:lvlJc w:val="right"/>
      <w:pPr>
        <w:ind w:left="4680" w:hanging="180"/>
      </w:pPr>
    </w:lvl>
    <w:lvl w:ilvl="6" w:tplc="6F7A1096" w:tentative="1">
      <w:start w:val="1"/>
      <w:numFmt w:val="decimal"/>
      <w:lvlText w:val="%7."/>
      <w:lvlJc w:val="left"/>
      <w:pPr>
        <w:ind w:left="5400" w:hanging="360"/>
      </w:pPr>
    </w:lvl>
    <w:lvl w:ilvl="7" w:tplc="B0D8C62E" w:tentative="1">
      <w:start w:val="1"/>
      <w:numFmt w:val="lowerLetter"/>
      <w:lvlText w:val="%8."/>
      <w:lvlJc w:val="left"/>
      <w:pPr>
        <w:ind w:left="6120" w:hanging="360"/>
      </w:pPr>
    </w:lvl>
    <w:lvl w:ilvl="8" w:tplc="56AA23C8" w:tentative="1">
      <w:start w:val="1"/>
      <w:numFmt w:val="lowerRoman"/>
      <w:lvlText w:val="%9."/>
      <w:lvlJc w:val="right"/>
      <w:pPr>
        <w:ind w:left="6840" w:hanging="180"/>
      </w:pPr>
    </w:lvl>
  </w:abstractNum>
  <w:abstractNum w:abstractNumId="1" w15:restartNumberingAfterBreak="0">
    <w:nsid w:val="0F8E6151"/>
    <w:multiLevelType w:val="hybridMultilevel"/>
    <w:tmpl w:val="6E029C02"/>
    <w:lvl w:ilvl="0" w:tplc="CD1EA22A">
      <w:start w:val="1"/>
      <w:numFmt w:val="bullet"/>
      <w:lvlText w:val=""/>
      <w:lvlJc w:val="left"/>
      <w:pPr>
        <w:ind w:left="720" w:hanging="360"/>
      </w:pPr>
      <w:rPr>
        <w:rFonts w:ascii="Wingdings" w:hAnsi="Wingdings" w:hint="default"/>
      </w:rPr>
    </w:lvl>
    <w:lvl w:ilvl="1" w:tplc="C6789CA8" w:tentative="1">
      <w:start w:val="1"/>
      <w:numFmt w:val="bullet"/>
      <w:lvlText w:val="o"/>
      <w:lvlJc w:val="left"/>
      <w:pPr>
        <w:ind w:left="1440" w:hanging="360"/>
      </w:pPr>
      <w:rPr>
        <w:rFonts w:ascii="Courier New" w:hAnsi="Courier New" w:cs="Courier New" w:hint="default"/>
      </w:rPr>
    </w:lvl>
    <w:lvl w:ilvl="2" w:tplc="7166E116" w:tentative="1">
      <w:start w:val="1"/>
      <w:numFmt w:val="bullet"/>
      <w:lvlText w:val=""/>
      <w:lvlJc w:val="left"/>
      <w:pPr>
        <w:ind w:left="2160" w:hanging="360"/>
      </w:pPr>
      <w:rPr>
        <w:rFonts w:ascii="Wingdings" w:hAnsi="Wingdings" w:hint="default"/>
      </w:rPr>
    </w:lvl>
    <w:lvl w:ilvl="3" w:tplc="C5F8407E" w:tentative="1">
      <w:start w:val="1"/>
      <w:numFmt w:val="bullet"/>
      <w:lvlText w:val=""/>
      <w:lvlJc w:val="left"/>
      <w:pPr>
        <w:ind w:left="2880" w:hanging="360"/>
      </w:pPr>
      <w:rPr>
        <w:rFonts w:ascii="Symbol" w:hAnsi="Symbol" w:hint="default"/>
      </w:rPr>
    </w:lvl>
    <w:lvl w:ilvl="4" w:tplc="8780CAD0" w:tentative="1">
      <w:start w:val="1"/>
      <w:numFmt w:val="bullet"/>
      <w:lvlText w:val="o"/>
      <w:lvlJc w:val="left"/>
      <w:pPr>
        <w:ind w:left="3600" w:hanging="360"/>
      </w:pPr>
      <w:rPr>
        <w:rFonts w:ascii="Courier New" w:hAnsi="Courier New" w:cs="Courier New" w:hint="default"/>
      </w:rPr>
    </w:lvl>
    <w:lvl w:ilvl="5" w:tplc="11CE4A5A" w:tentative="1">
      <w:start w:val="1"/>
      <w:numFmt w:val="bullet"/>
      <w:lvlText w:val=""/>
      <w:lvlJc w:val="left"/>
      <w:pPr>
        <w:ind w:left="4320" w:hanging="360"/>
      </w:pPr>
      <w:rPr>
        <w:rFonts w:ascii="Wingdings" w:hAnsi="Wingdings" w:hint="default"/>
      </w:rPr>
    </w:lvl>
    <w:lvl w:ilvl="6" w:tplc="D954FBB0" w:tentative="1">
      <w:start w:val="1"/>
      <w:numFmt w:val="bullet"/>
      <w:lvlText w:val=""/>
      <w:lvlJc w:val="left"/>
      <w:pPr>
        <w:ind w:left="5040" w:hanging="360"/>
      </w:pPr>
      <w:rPr>
        <w:rFonts w:ascii="Symbol" w:hAnsi="Symbol" w:hint="default"/>
      </w:rPr>
    </w:lvl>
    <w:lvl w:ilvl="7" w:tplc="4DA425A8" w:tentative="1">
      <w:start w:val="1"/>
      <w:numFmt w:val="bullet"/>
      <w:lvlText w:val="o"/>
      <w:lvlJc w:val="left"/>
      <w:pPr>
        <w:ind w:left="5760" w:hanging="360"/>
      </w:pPr>
      <w:rPr>
        <w:rFonts w:ascii="Courier New" w:hAnsi="Courier New" w:cs="Courier New" w:hint="default"/>
      </w:rPr>
    </w:lvl>
    <w:lvl w:ilvl="8" w:tplc="02D04FAE" w:tentative="1">
      <w:start w:val="1"/>
      <w:numFmt w:val="bullet"/>
      <w:lvlText w:val=""/>
      <w:lvlJc w:val="left"/>
      <w:pPr>
        <w:ind w:left="6480" w:hanging="360"/>
      </w:pPr>
      <w:rPr>
        <w:rFonts w:ascii="Wingdings" w:hAnsi="Wingdings" w:hint="default"/>
      </w:rPr>
    </w:lvl>
  </w:abstractNum>
  <w:abstractNum w:abstractNumId="2" w15:restartNumberingAfterBreak="0">
    <w:nsid w:val="1F4E3641"/>
    <w:multiLevelType w:val="hybridMultilevel"/>
    <w:tmpl w:val="0FF2F2D6"/>
    <w:lvl w:ilvl="0" w:tplc="BD8A01BA">
      <w:start w:val="1"/>
      <w:numFmt w:val="bullet"/>
      <w:lvlText w:val=""/>
      <w:lvlJc w:val="left"/>
      <w:pPr>
        <w:ind w:left="1080" w:hanging="360"/>
      </w:pPr>
      <w:rPr>
        <w:rFonts w:ascii="Symbol" w:hAnsi="Symbol" w:hint="default"/>
      </w:rPr>
    </w:lvl>
    <w:lvl w:ilvl="1" w:tplc="924AC23A" w:tentative="1">
      <w:start w:val="1"/>
      <w:numFmt w:val="bullet"/>
      <w:lvlText w:val="o"/>
      <w:lvlJc w:val="left"/>
      <w:pPr>
        <w:ind w:left="1800" w:hanging="360"/>
      </w:pPr>
      <w:rPr>
        <w:rFonts w:ascii="Courier New" w:hAnsi="Courier New" w:cs="Courier New" w:hint="default"/>
      </w:rPr>
    </w:lvl>
    <w:lvl w:ilvl="2" w:tplc="E54A003C" w:tentative="1">
      <w:start w:val="1"/>
      <w:numFmt w:val="bullet"/>
      <w:lvlText w:val=""/>
      <w:lvlJc w:val="left"/>
      <w:pPr>
        <w:ind w:left="2520" w:hanging="360"/>
      </w:pPr>
      <w:rPr>
        <w:rFonts w:ascii="Wingdings" w:hAnsi="Wingdings" w:hint="default"/>
      </w:rPr>
    </w:lvl>
    <w:lvl w:ilvl="3" w:tplc="63ECB9E8" w:tentative="1">
      <w:start w:val="1"/>
      <w:numFmt w:val="bullet"/>
      <w:lvlText w:val=""/>
      <w:lvlJc w:val="left"/>
      <w:pPr>
        <w:ind w:left="3240" w:hanging="360"/>
      </w:pPr>
      <w:rPr>
        <w:rFonts w:ascii="Symbol" w:hAnsi="Symbol" w:hint="default"/>
      </w:rPr>
    </w:lvl>
    <w:lvl w:ilvl="4" w:tplc="716A5A4C" w:tentative="1">
      <w:start w:val="1"/>
      <w:numFmt w:val="bullet"/>
      <w:lvlText w:val="o"/>
      <w:lvlJc w:val="left"/>
      <w:pPr>
        <w:ind w:left="3960" w:hanging="360"/>
      </w:pPr>
      <w:rPr>
        <w:rFonts w:ascii="Courier New" w:hAnsi="Courier New" w:cs="Courier New" w:hint="default"/>
      </w:rPr>
    </w:lvl>
    <w:lvl w:ilvl="5" w:tplc="9D6CBDE8" w:tentative="1">
      <w:start w:val="1"/>
      <w:numFmt w:val="bullet"/>
      <w:lvlText w:val=""/>
      <w:lvlJc w:val="left"/>
      <w:pPr>
        <w:ind w:left="4680" w:hanging="360"/>
      </w:pPr>
      <w:rPr>
        <w:rFonts w:ascii="Wingdings" w:hAnsi="Wingdings" w:hint="default"/>
      </w:rPr>
    </w:lvl>
    <w:lvl w:ilvl="6" w:tplc="FAAAF5DA" w:tentative="1">
      <w:start w:val="1"/>
      <w:numFmt w:val="bullet"/>
      <w:lvlText w:val=""/>
      <w:lvlJc w:val="left"/>
      <w:pPr>
        <w:ind w:left="5400" w:hanging="360"/>
      </w:pPr>
      <w:rPr>
        <w:rFonts w:ascii="Symbol" w:hAnsi="Symbol" w:hint="default"/>
      </w:rPr>
    </w:lvl>
    <w:lvl w:ilvl="7" w:tplc="504AB60C" w:tentative="1">
      <w:start w:val="1"/>
      <w:numFmt w:val="bullet"/>
      <w:lvlText w:val="o"/>
      <w:lvlJc w:val="left"/>
      <w:pPr>
        <w:ind w:left="6120" w:hanging="360"/>
      </w:pPr>
      <w:rPr>
        <w:rFonts w:ascii="Courier New" w:hAnsi="Courier New" w:cs="Courier New" w:hint="default"/>
      </w:rPr>
    </w:lvl>
    <w:lvl w:ilvl="8" w:tplc="85D60AD2" w:tentative="1">
      <w:start w:val="1"/>
      <w:numFmt w:val="bullet"/>
      <w:lvlText w:val=""/>
      <w:lvlJc w:val="left"/>
      <w:pPr>
        <w:ind w:left="6840" w:hanging="360"/>
      </w:pPr>
      <w:rPr>
        <w:rFonts w:ascii="Wingdings" w:hAnsi="Wingdings" w:hint="default"/>
      </w:rPr>
    </w:lvl>
  </w:abstractNum>
  <w:abstractNum w:abstractNumId="3" w15:restartNumberingAfterBreak="0">
    <w:nsid w:val="346079E4"/>
    <w:multiLevelType w:val="hybridMultilevel"/>
    <w:tmpl w:val="D146F2D4"/>
    <w:lvl w:ilvl="0" w:tplc="F9F6F344">
      <w:start w:val="1"/>
      <w:numFmt w:val="bullet"/>
      <w:lvlText w:val=""/>
      <w:lvlJc w:val="left"/>
      <w:pPr>
        <w:ind w:left="720" w:hanging="360"/>
      </w:pPr>
      <w:rPr>
        <w:rFonts w:ascii="Wingdings" w:hAnsi="Wingdings" w:hint="default"/>
      </w:rPr>
    </w:lvl>
    <w:lvl w:ilvl="1" w:tplc="F8880210">
      <w:start w:val="1"/>
      <w:numFmt w:val="bullet"/>
      <w:lvlText w:val="o"/>
      <w:lvlJc w:val="left"/>
      <w:pPr>
        <w:ind w:left="1440" w:hanging="360"/>
      </w:pPr>
      <w:rPr>
        <w:rFonts w:ascii="Courier New" w:hAnsi="Courier New" w:cs="Courier New" w:hint="default"/>
      </w:rPr>
    </w:lvl>
    <w:lvl w:ilvl="2" w:tplc="84C4F9D0" w:tentative="1">
      <w:start w:val="1"/>
      <w:numFmt w:val="bullet"/>
      <w:lvlText w:val=""/>
      <w:lvlJc w:val="left"/>
      <w:pPr>
        <w:ind w:left="2160" w:hanging="360"/>
      </w:pPr>
      <w:rPr>
        <w:rFonts w:ascii="Wingdings" w:hAnsi="Wingdings" w:hint="default"/>
      </w:rPr>
    </w:lvl>
    <w:lvl w:ilvl="3" w:tplc="39783384" w:tentative="1">
      <w:start w:val="1"/>
      <w:numFmt w:val="bullet"/>
      <w:lvlText w:val=""/>
      <w:lvlJc w:val="left"/>
      <w:pPr>
        <w:ind w:left="2880" w:hanging="360"/>
      </w:pPr>
      <w:rPr>
        <w:rFonts w:ascii="Symbol" w:hAnsi="Symbol" w:hint="default"/>
      </w:rPr>
    </w:lvl>
    <w:lvl w:ilvl="4" w:tplc="C6121EA0" w:tentative="1">
      <w:start w:val="1"/>
      <w:numFmt w:val="bullet"/>
      <w:lvlText w:val="o"/>
      <w:lvlJc w:val="left"/>
      <w:pPr>
        <w:ind w:left="3600" w:hanging="360"/>
      </w:pPr>
      <w:rPr>
        <w:rFonts w:ascii="Courier New" w:hAnsi="Courier New" w:cs="Courier New" w:hint="default"/>
      </w:rPr>
    </w:lvl>
    <w:lvl w:ilvl="5" w:tplc="33CC9278" w:tentative="1">
      <w:start w:val="1"/>
      <w:numFmt w:val="bullet"/>
      <w:lvlText w:val=""/>
      <w:lvlJc w:val="left"/>
      <w:pPr>
        <w:ind w:left="4320" w:hanging="360"/>
      </w:pPr>
      <w:rPr>
        <w:rFonts w:ascii="Wingdings" w:hAnsi="Wingdings" w:hint="default"/>
      </w:rPr>
    </w:lvl>
    <w:lvl w:ilvl="6" w:tplc="8EBE7710" w:tentative="1">
      <w:start w:val="1"/>
      <w:numFmt w:val="bullet"/>
      <w:lvlText w:val=""/>
      <w:lvlJc w:val="left"/>
      <w:pPr>
        <w:ind w:left="5040" w:hanging="360"/>
      </w:pPr>
      <w:rPr>
        <w:rFonts w:ascii="Symbol" w:hAnsi="Symbol" w:hint="default"/>
      </w:rPr>
    </w:lvl>
    <w:lvl w:ilvl="7" w:tplc="13143EB0" w:tentative="1">
      <w:start w:val="1"/>
      <w:numFmt w:val="bullet"/>
      <w:lvlText w:val="o"/>
      <w:lvlJc w:val="left"/>
      <w:pPr>
        <w:ind w:left="5760" w:hanging="360"/>
      </w:pPr>
      <w:rPr>
        <w:rFonts w:ascii="Courier New" w:hAnsi="Courier New" w:cs="Courier New" w:hint="default"/>
      </w:rPr>
    </w:lvl>
    <w:lvl w:ilvl="8" w:tplc="350A0A26" w:tentative="1">
      <w:start w:val="1"/>
      <w:numFmt w:val="bullet"/>
      <w:lvlText w:val=""/>
      <w:lvlJc w:val="left"/>
      <w:pPr>
        <w:ind w:left="6480" w:hanging="360"/>
      </w:pPr>
      <w:rPr>
        <w:rFonts w:ascii="Wingdings" w:hAnsi="Wingdings" w:hint="default"/>
      </w:rPr>
    </w:lvl>
  </w:abstractNum>
  <w:abstractNum w:abstractNumId="4" w15:restartNumberingAfterBreak="0">
    <w:nsid w:val="34E87350"/>
    <w:multiLevelType w:val="hybridMultilevel"/>
    <w:tmpl w:val="6E809BB2"/>
    <w:lvl w:ilvl="0" w:tplc="EEC495EA">
      <w:start w:val="1"/>
      <w:numFmt w:val="bullet"/>
      <w:lvlText w:val=""/>
      <w:lvlJc w:val="left"/>
      <w:pPr>
        <w:ind w:left="720" w:hanging="360"/>
      </w:pPr>
      <w:rPr>
        <w:rFonts w:ascii="Wingdings" w:hAnsi="Wingdings" w:hint="default"/>
      </w:rPr>
    </w:lvl>
    <w:lvl w:ilvl="1" w:tplc="9DAA2FBA" w:tentative="1">
      <w:start w:val="1"/>
      <w:numFmt w:val="bullet"/>
      <w:lvlText w:val="o"/>
      <w:lvlJc w:val="left"/>
      <w:pPr>
        <w:ind w:left="1440" w:hanging="360"/>
      </w:pPr>
      <w:rPr>
        <w:rFonts w:ascii="Courier New" w:hAnsi="Courier New" w:cs="Courier New" w:hint="default"/>
      </w:rPr>
    </w:lvl>
    <w:lvl w:ilvl="2" w:tplc="4E569F0A" w:tentative="1">
      <w:start w:val="1"/>
      <w:numFmt w:val="bullet"/>
      <w:lvlText w:val=""/>
      <w:lvlJc w:val="left"/>
      <w:pPr>
        <w:ind w:left="2160" w:hanging="360"/>
      </w:pPr>
      <w:rPr>
        <w:rFonts w:ascii="Wingdings" w:hAnsi="Wingdings" w:hint="default"/>
      </w:rPr>
    </w:lvl>
    <w:lvl w:ilvl="3" w:tplc="ED1021D0" w:tentative="1">
      <w:start w:val="1"/>
      <w:numFmt w:val="bullet"/>
      <w:lvlText w:val=""/>
      <w:lvlJc w:val="left"/>
      <w:pPr>
        <w:ind w:left="2880" w:hanging="360"/>
      </w:pPr>
      <w:rPr>
        <w:rFonts w:ascii="Symbol" w:hAnsi="Symbol" w:hint="default"/>
      </w:rPr>
    </w:lvl>
    <w:lvl w:ilvl="4" w:tplc="9F5286C0" w:tentative="1">
      <w:start w:val="1"/>
      <w:numFmt w:val="bullet"/>
      <w:lvlText w:val="o"/>
      <w:lvlJc w:val="left"/>
      <w:pPr>
        <w:ind w:left="3600" w:hanging="360"/>
      </w:pPr>
      <w:rPr>
        <w:rFonts w:ascii="Courier New" w:hAnsi="Courier New" w:cs="Courier New" w:hint="default"/>
      </w:rPr>
    </w:lvl>
    <w:lvl w:ilvl="5" w:tplc="09AC6E9E" w:tentative="1">
      <w:start w:val="1"/>
      <w:numFmt w:val="bullet"/>
      <w:lvlText w:val=""/>
      <w:lvlJc w:val="left"/>
      <w:pPr>
        <w:ind w:left="4320" w:hanging="360"/>
      </w:pPr>
      <w:rPr>
        <w:rFonts w:ascii="Wingdings" w:hAnsi="Wingdings" w:hint="default"/>
      </w:rPr>
    </w:lvl>
    <w:lvl w:ilvl="6" w:tplc="012EC150" w:tentative="1">
      <w:start w:val="1"/>
      <w:numFmt w:val="bullet"/>
      <w:lvlText w:val=""/>
      <w:lvlJc w:val="left"/>
      <w:pPr>
        <w:ind w:left="5040" w:hanging="360"/>
      </w:pPr>
      <w:rPr>
        <w:rFonts w:ascii="Symbol" w:hAnsi="Symbol" w:hint="default"/>
      </w:rPr>
    </w:lvl>
    <w:lvl w:ilvl="7" w:tplc="CD247508" w:tentative="1">
      <w:start w:val="1"/>
      <w:numFmt w:val="bullet"/>
      <w:lvlText w:val="o"/>
      <w:lvlJc w:val="left"/>
      <w:pPr>
        <w:ind w:left="5760" w:hanging="360"/>
      </w:pPr>
      <w:rPr>
        <w:rFonts w:ascii="Courier New" w:hAnsi="Courier New" w:cs="Courier New" w:hint="default"/>
      </w:rPr>
    </w:lvl>
    <w:lvl w:ilvl="8" w:tplc="0EF8B8BC" w:tentative="1">
      <w:start w:val="1"/>
      <w:numFmt w:val="bullet"/>
      <w:lvlText w:val=""/>
      <w:lvlJc w:val="left"/>
      <w:pPr>
        <w:ind w:left="6480" w:hanging="360"/>
      </w:pPr>
      <w:rPr>
        <w:rFonts w:ascii="Wingdings" w:hAnsi="Wingdings" w:hint="default"/>
      </w:rPr>
    </w:lvl>
  </w:abstractNum>
  <w:abstractNum w:abstractNumId="5" w15:restartNumberingAfterBreak="0">
    <w:nsid w:val="35C63D0A"/>
    <w:multiLevelType w:val="hybridMultilevel"/>
    <w:tmpl w:val="F60231BA"/>
    <w:lvl w:ilvl="0" w:tplc="66483B88">
      <w:start w:val="1"/>
      <w:numFmt w:val="decimal"/>
      <w:lvlText w:val="%1."/>
      <w:lvlJc w:val="left"/>
      <w:pPr>
        <w:ind w:left="1080" w:hanging="360"/>
      </w:pPr>
    </w:lvl>
    <w:lvl w:ilvl="1" w:tplc="4FFA7842" w:tentative="1">
      <w:start w:val="1"/>
      <w:numFmt w:val="lowerLetter"/>
      <w:lvlText w:val="%2."/>
      <w:lvlJc w:val="left"/>
      <w:pPr>
        <w:ind w:left="1800" w:hanging="360"/>
      </w:pPr>
    </w:lvl>
    <w:lvl w:ilvl="2" w:tplc="F9724938" w:tentative="1">
      <w:start w:val="1"/>
      <w:numFmt w:val="lowerRoman"/>
      <w:lvlText w:val="%3."/>
      <w:lvlJc w:val="right"/>
      <w:pPr>
        <w:ind w:left="2520" w:hanging="180"/>
      </w:pPr>
    </w:lvl>
    <w:lvl w:ilvl="3" w:tplc="419E9D86" w:tentative="1">
      <w:start w:val="1"/>
      <w:numFmt w:val="decimal"/>
      <w:lvlText w:val="%4."/>
      <w:lvlJc w:val="left"/>
      <w:pPr>
        <w:ind w:left="3240" w:hanging="360"/>
      </w:pPr>
    </w:lvl>
    <w:lvl w:ilvl="4" w:tplc="9D263EC2" w:tentative="1">
      <w:start w:val="1"/>
      <w:numFmt w:val="lowerLetter"/>
      <w:lvlText w:val="%5."/>
      <w:lvlJc w:val="left"/>
      <w:pPr>
        <w:ind w:left="3960" w:hanging="360"/>
      </w:pPr>
    </w:lvl>
    <w:lvl w:ilvl="5" w:tplc="E4C8719C" w:tentative="1">
      <w:start w:val="1"/>
      <w:numFmt w:val="lowerRoman"/>
      <w:lvlText w:val="%6."/>
      <w:lvlJc w:val="right"/>
      <w:pPr>
        <w:ind w:left="4680" w:hanging="180"/>
      </w:pPr>
    </w:lvl>
    <w:lvl w:ilvl="6" w:tplc="E43ED27A" w:tentative="1">
      <w:start w:val="1"/>
      <w:numFmt w:val="decimal"/>
      <w:lvlText w:val="%7."/>
      <w:lvlJc w:val="left"/>
      <w:pPr>
        <w:ind w:left="5400" w:hanging="360"/>
      </w:pPr>
    </w:lvl>
    <w:lvl w:ilvl="7" w:tplc="31666494" w:tentative="1">
      <w:start w:val="1"/>
      <w:numFmt w:val="lowerLetter"/>
      <w:lvlText w:val="%8."/>
      <w:lvlJc w:val="left"/>
      <w:pPr>
        <w:ind w:left="6120" w:hanging="360"/>
      </w:pPr>
    </w:lvl>
    <w:lvl w:ilvl="8" w:tplc="FA2C02A8" w:tentative="1">
      <w:start w:val="1"/>
      <w:numFmt w:val="lowerRoman"/>
      <w:lvlText w:val="%9."/>
      <w:lvlJc w:val="right"/>
      <w:pPr>
        <w:ind w:left="6840" w:hanging="180"/>
      </w:pPr>
    </w:lvl>
  </w:abstractNum>
  <w:abstractNum w:abstractNumId="6" w15:restartNumberingAfterBreak="0">
    <w:nsid w:val="484B18CE"/>
    <w:multiLevelType w:val="hybridMultilevel"/>
    <w:tmpl w:val="AC585BB6"/>
    <w:lvl w:ilvl="0" w:tplc="69487390">
      <w:start w:val="1"/>
      <w:numFmt w:val="bullet"/>
      <w:lvlText w:val=""/>
      <w:lvlJc w:val="left"/>
      <w:pPr>
        <w:ind w:left="720" w:hanging="360"/>
      </w:pPr>
      <w:rPr>
        <w:rFonts w:ascii="Wingdings" w:hAnsi="Wingdings" w:hint="default"/>
      </w:rPr>
    </w:lvl>
    <w:lvl w:ilvl="1" w:tplc="B7CEDF62" w:tentative="1">
      <w:start w:val="1"/>
      <w:numFmt w:val="bullet"/>
      <w:lvlText w:val="o"/>
      <w:lvlJc w:val="left"/>
      <w:pPr>
        <w:ind w:left="1440" w:hanging="360"/>
      </w:pPr>
      <w:rPr>
        <w:rFonts w:ascii="Courier New" w:hAnsi="Courier New" w:cs="Courier New" w:hint="default"/>
      </w:rPr>
    </w:lvl>
    <w:lvl w:ilvl="2" w:tplc="3CE215BC" w:tentative="1">
      <w:start w:val="1"/>
      <w:numFmt w:val="bullet"/>
      <w:lvlText w:val=""/>
      <w:lvlJc w:val="left"/>
      <w:pPr>
        <w:ind w:left="2160" w:hanging="360"/>
      </w:pPr>
      <w:rPr>
        <w:rFonts w:ascii="Wingdings" w:hAnsi="Wingdings" w:hint="default"/>
      </w:rPr>
    </w:lvl>
    <w:lvl w:ilvl="3" w:tplc="2E500620" w:tentative="1">
      <w:start w:val="1"/>
      <w:numFmt w:val="bullet"/>
      <w:lvlText w:val=""/>
      <w:lvlJc w:val="left"/>
      <w:pPr>
        <w:ind w:left="2880" w:hanging="360"/>
      </w:pPr>
      <w:rPr>
        <w:rFonts w:ascii="Symbol" w:hAnsi="Symbol" w:hint="default"/>
      </w:rPr>
    </w:lvl>
    <w:lvl w:ilvl="4" w:tplc="7826B710" w:tentative="1">
      <w:start w:val="1"/>
      <w:numFmt w:val="bullet"/>
      <w:lvlText w:val="o"/>
      <w:lvlJc w:val="left"/>
      <w:pPr>
        <w:ind w:left="3600" w:hanging="360"/>
      </w:pPr>
      <w:rPr>
        <w:rFonts w:ascii="Courier New" w:hAnsi="Courier New" w:cs="Courier New" w:hint="default"/>
      </w:rPr>
    </w:lvl>
    <w:lvl w:ilvl="5" w:tplc="6532BE9E" w:tentative="1">
      <w:start w:val="1"/>
      <w:numFmt w:val="bullet"/>
      <w:lvlText w:val=""/>
      <w:lvlJc w:val="left"/>
      <w:pPr>
        <w:ind w:left="4320" w:hanging="360"/>
      </w:pPr>
      <w:rPr>
        <w:rFonts w:ascii="Wingdings" w:hAnsi="Wingdings" w:hint="default"/>
      </w:rPr>
    </w:lvl>
    <w:lvl w:ilvl="6" w:tplc="402A1432" w:tentative="1">
      <w:start w:val="1"/>
      <w:numFmt w:val="bullet"/>
      <w:lvlText w:val=""/>
      <w:lvlJc w:val="left"/>
      <w:pPr>
        <w:ind w:left="5040" w:hanging="360"/>
      </w:pPr>
      <w:rPr>
        <w:rFonts w:ascii="Symbol" w:hAnsi="Symbol" w:hint="default"/>
      </w:rPr>
    </w:lvl>
    <w:lvl w:ilvl="7" w:tplc="478AD3C2" w:tentative="1">
      <w:start w:val="1"/>
      <w:numFmt w:val="bullet"/>
      <w:lvlText w:val="o"/>
      <w:lvlJc w:val="left"/>
      <w:pPr>
        <w:ind w:left="5760" w:hanging="360"/>
      </w:pPr>
      <w:rPr>
        <w:rFonts w:ascii="Courier New" w:hAnsi="Courier New" w:cs="Courier New" w:hint="default"/>
      </w:rPr>
    </w:lvl>
    <w:lvl w:ilvl="8" w:tplc="6B9A6F9A" w:tentative="1">
      <w:start w:val="1"/>
      <w:numFmt w:val="bullet"/>
      <w:lvlText w:val=""/>
      <w:lvlJc w:val="left"/>
      <w:pPr>
        <w:ind w:left="6480" w:hanging="360"/>
      </w:pPr>
      <w:rPr>
        <w:rFonts w:ascii="Wingdings" w:hAnsi="Wingdings" w:hint="default"/>
      </w:rPr>
    </w:lvl>
  </w:abstractNum>
  <w:abstractNum w:abstractNumId="7" w15:restartNumberingAfterBreak="0">
    <w:nsid w:val="4D591FDE"/>
    <w:multiLevelType w:val="hybridMultilevel"/>
    <w:tmpl w:val="651EA502"/>
    <w:lvl w:ilvl="0" w:tplc="2EB4FC66">
      <w:start w:val="1"/>
      <w:numFmt w:val="bullet"/>
      <w:lvlText w:val=""/>
      <w:lvlJc w:val="left"/>
      <w:pPr>
        <w:ind w:left="720" w:hanging="360"/>
      </w:pPr>
      <w:rPr>
        <w:rFonts w:ascii="Symbol" w:hAnsi="Symbol" w:hint="default"/>
      </w:rPr>
    </w:lvl>
    <w:lvl w:ilvl="1" w:tplc="8B7475DC" w:tentative="1">
      <w:start w:val="1"/>
      <w:numFmt w:val="bullet"/>
      <w:lvlText w:val="o"/>
      <w:lvlJc w:val="left"/>
      <w:pPr>
        <w:ind w:left="1440" w:hanging="360"/>
      </w:pPr>
      <w:rPr>
        <w:rFonts w:ascii="Courier New" w:hAnsi="Courier New" w:cs="Courier New" w:hint="default"/>
      </w:rPr>
    </w:lvl>
    <w:lvl w:ilvl="2" w:tplc="1D7688C2" w:tentative="1">
      <w:start w:val="1"/>
      <w:numFmt w:val="bullet"/>
      <w:lvlText w:val=""/>
      <w:lvlJc w:val="left"/>
      <w:pPr>
        <w:ind w:left="2160" w:hanging="360"/>
      </w:pPr>
      <w:rPr>
        <w:rFonts w:ascii="Wingdings" w:hAnsi="Wingdings" w:hint="default"/>
      </w:rPr>
    </w:lvl>
    <w:lvl w:ilvl="3" w:tplc="E774F1BC" w:tentative="1">
      <w:start w:val="1"/>
      <w:numFmt w:val="bullet"/>
      <w:lvlText w:val=""/>
      <w:lvlJc w:val="left"/>
      <w:pPr>
        <w:ind w:left="2880" w:hanging="360"/>
      </w:pPr>
      <w:rPr>
        <w:rFonts w:ascii="Symbol" w:hAnsi="Symbol" w:hint="default"/>
      </w:rPr>
    </w:lvl>
    <w:lvl w:ilvl="4" w:tplc="7E2CD918" w:tentative="1">
      <w:start w:val="1"/>
      <w:numFmt w:val="bullet"/>
      <w:lvlText w:val="o"/>
      <w:lvlJc w:val="left"/>
      <w:pPr>
        <w:ind w:left="3600" w:hanging="360"/>
      </w:pPr>
      <w:rPr>
        <w:rFonts w:ascii="Courier New" w:hAnsi="Courier New" w:cs="Courier New" w:hint="default"/>
      </w:rPr>
    </w:lvl>
    <w:lvl w:ilvl="5" w:tplc="036E156C" w:tentative="1">
      <w:start w:val="1"/>
      <w:numFmt w:val="bullet"/>
      <w:lvlText w:val=""/>
      <w:lvlJc w:val="left"/>
      <w:pPr>
        <w:ind w:left="4320" w:hanging="360"/>
      </w:pPr>
      <w:rPr>
        <w:rFonts w:ascii="Wingdings" w:hAnsi="Wingdings" w:hint="default"/>
      </w:rPr>
    </w:lvl>
    <w:lvl w:ilvl="6" w:tplc="56126ED2" w:tentative="1">
      <w:start w:val="1"/>
      <w:numFmt w:val="bullet"/>
      <w:lvlText w:val=""/>
      <w:lvlJc w:val="left"/>
      <w:pPr>
        <w:ind w:left="5040" w:hanging="360"/>
      </w:pPr>
      <w:rPr>
        <w:rFonts w:ascii="Symbol" w:hAnsi="Symbol" w:hint="default"/>
      </w:rPr>
    </w:lvl>
    <w:lvl w:ilvl="7" w:tplc="002008F4" w:tentative="1">
      <w:start w:val="1"/>
      <w:numFmt w:val="bullet"/>
      <w:lvlText w:val="o"/>
      <w:lvlJc w:val="left"/>
      <w:pPr>
        <w:ind w:left="5760" w:hanging="360"/>
      </w:pPr>
      <w:rPr>
        <w:rFonts w:ascii="Courier New" w:hAnsi="Courier New" w:cs="Courier New" w:hint="default"/>
      </w:rPr>
    </w:lvl>
    <w:lvl w:ilvl="8" w:tplc="C1F6A44A" w:tentative="1">
      <w:start w:val="1"/>
      <w:numFmt w:val="bullet"/>
      <w:lvlText w:val=""/>
      <w:lvlJc w:val="left"/>
      <w:pPr>
        <w:ind w:left="6480" w:hanging="360"/>
      </w:pPr>
      <w:rPr>
        <w:rFonts w:ascii="Wingdings" w:hAnsi="Wingdings" w:hint="default"/>
      </w:rPr>
    </w:lvl>
  </w:abstractNum>
  <w:abstractNum w:abstractNumId="8" w15:restartNumberingAfterBreak="0">
    <w:nsid w:val="6A8242CB"/>
    <w:multiLevelType w:val="hybridMultilevel"/>
    <w:tmpl w:val="37566492"/>
    <w:lvl w:ilvl="0" w:tplc="CCF68A0C">
      <w:start w:val="1"/>
      <w:numFmt w:val="bullet"/>
      <w:lvlText w:val=""/>
      <w:lvlJc w:val="left"/>
      <w:pPr>
        <w:ind w:left="720" w:hanging="360"/>
      </w:pPr>
      <w:rPr>
        <w:rFonts w:ascii="Wingdings" w:hAnsi="Wingdings" w:hint="default"/>
      </w:rPr>
    </w:lvl>
    <w:lvl w:ilvl="1" w:tplc="530AF986" w:tentative="1">
      <w:start w:val="1"/>
      <w:numFmt w:val="bullet"/>
      <w:lvlText w:val="o"/>
      <w:lvlJc w:val="left"/>
      <w:pPr>
        <w:ind w:left="1440" w:hanging="360"/>
      </w:pPr>
      <w:rPr>
        <w:rFonts w:ascii="Courier New" w:hAnsi="Courier New" w:cs="Courier New" w:hint="default"/>
      </w:rPr>
    </w:lvl>
    <w:lvl w:ilvl="2" w:tplc="1C4E5E48" w:tentative="1">
      <w:start w:val="1"/>
      <w:numFmt w:val="bullet"/>
      <w:lvlText w:val=""/>
      <w:lvlJc w:val="left"/>
      <w:pPr>
        <w:ind w:left="2160" w:hanging="360"/>
      </w:pPr>
      <w:rPr>
        <w:rFonts w:ascii="Wingdings" w:hAnsi="Wingdings" w:hint="default"/>
      </w:rPr>
    </w:lvl>
    <w:lvl w:ilvl="3" w:tplc="8B745A48" w:tentative="1">
      <w:start w:val="1"/>
      <w:numFmt w:val="bullet"/>
      <w:lvlText w:val=""/>
      <w:lvlJc w:val="left"/>
      <w:pPr>
        <w:ind w:left="2880" w:hanging="360"/>
      </w:pPr>
      <w:rPr>
        <w:rFonts w:ascii="Symbol" w:hAnsi="Symbol" w:hint="default"/>
      </w:rPr>
    </w:lvl>
    <w:lvl w:ilvl="4" w:tplc="D1E4B834" w:tentative="1">
      <w:start w:val="1"/>
      <w:numFmt w:val="bullet"/>
      <w:lvlText w:val="o"/>
      <w:lvlJc w:val="left"/>
      <w:pPr>
        <w:ind w:left="3600" w:hanging="360"/>
      </w:pPr>
      <w:rPr>
        <w:rFonts w:ascii="Courier New" w:hAnsi="Courier New" w:cs="Courier New" w:hint="default"/>
      </w:rPr>
    </w:lvl>
    <w:lvl w:ilvl="5" w:tplc="4F4A5EE8" w:tentative="1">
      <w:start w:val="1"/>
      <w:numFmt w:val="bullet"/>
      <w:lvlText w:val=""/>
      <w:lvlJc w:val="left"/>
      <w:pPr>
        <w:ind w:left="4320" w:hanging="360"/>
      </w:pPr>
      <w:rPr>
        <w:rFonts w:ascii="Wingdings" w:hAnsi="Wingdings" w:hint="default"/>
      </w:rPr>
    </w:lvl>
    <w:lvl w:ilvl="6" w:tplc="73585F34" w:tentative="1">
      <w:start w:val="1"/>
      <w:numFmt w:val="bullet"/>
      <w:lvlText w:val=""/>
      <w:lvlJc w:val="left"/>
      <w:pPr>
        <w:ind w:left="5040" w:hanging="360"/>
      </w:pPr>
      <w:rPr>
        <w:rFonts w:ascii="Symbol" w:hAnsi="Symbol" w:hint="default"/>
      </w:rPr>
    </w:lvl>
    <w:lvl w:ilvl="7" w:tplc="AB8E1098" w:tentative="1">
      <w:start w:val="1"/>
      <w:numFmt w:val="bullet"/>
      <w:lvlText w:val="o"/>
      <w:lvlJc w:val="left"/>
      <w:pPr>
        <w:ind w:left="5760" w:hanging="360"/>
      </w:pPr>
      <w:rPr>
        <w:rFonts w:ascii="Courier New" w:hAnsi="Courier New" w:cs="Courier New" w:hint="default"/>
      </w:rPr>
    </w:lvl>
    <w:lvl w:ilvl="8" w:tplc="02445E94" w:tentative="1">
      <w:start w:val="1"/>
      <w:numFmt w:val="bullet"/>
      <w:lvlText w:val=""/>
      <w:lvlJc w:val="left"/>
      <w:pPr>
        <w:ind w:left="6480" w:hanging="360"/>
      </w:pPr>
      <w:rPr>
        <w:rFonts w:ascii="Wingdings" w:hAnsi="Wingdings" w:hint="default"/>
      </w:rPr>
    </w:lvl>
  </w:abstractNum>
  <w:abstractNum w:abstractNumId="9" w15:restartNumberingAfterBreak="0">
    <w:nsid w:val="70943852"/>
    <w:multiLevelType w:val="hybridMultilevel"/>
    <w:tmpl w:val="D550F792"/>
    <w:lvl w:ilvl="0" w:tplc="9F18D118">
      <w:start w:val="1"/>
      <w:numFmt w:val="bullet"/>
      <w:lvlText w:val=""/>
      <w:lvlJc w:val="left"/>
      <w:pPr>
        <w:ind w:left="720" w:hanging="360"/>
      </w:pPr>
      <w:rPr>
        <w:rFonts w:ascii="Wingdings" w:hAnsi="Wingdings" w:hint="default"/>
      </w:rPr>
    </w:lvl>
    <w:lvl w:ilvl="1" w:tplc="0440696E">
      <w:start w:val="1"/>
      <w:numFmt w:val="bullet"/>
      <w:lvlText w:val="o"/>
      <w:lvlJc w:val="left"/>
      <w:pPr>
        <w:ind w:left="1440" w:hanging="360"/>
      </w:pPr>
      <w:rPr>
        <w:rFonts w:ascii="Courier New" w:hAnsi="Courier New" w:cs="Courier New" w:hint="default"/>
      </w:rPr>
    </w:lvl>
    <w:lvl w:ilvl="2" w:tplc="FE14EEC0" w:tentative="1">
      <w:start w:val="1"/>
      <w:numFmt w:val="bullet"/>
      <w:lvlText w:val=""/>
      <w:lvlJc w:val="left"/>
      <w:pPr>
        <w:ind w:left="2160" w:hanging="360"/>
      </w:pPr>
      <w:rPr>
        <w:rFonts w:ascii="Wingdings" w:hAnsi="Wingdings" w:hint="default"/>
      </w:rPr>
    </w:lvl>
    <w:lvl w:ilvl="3" w:tplc="F70E9B50" w:tentative="1">
      <w:start w:val="1"/>
      <w:numFmt w:val="bullet"/>
      <w:lvlText w:val=""/>
      <w:lvlJc w:val="left"/>
      <w:pPr>
        <w:ind w:left="2880" w:hanging="360"/>
      </w:pPr>
      <w:rPr>
        <w:rFonts w:ascii="Symbol" w:hAnsi="Symbol" w:hint="default"/>
      </w:rPr>
    </w:lvl>
    <w:lvl w:ilvl="4" w:tplc="D8B89390" w:tentative="1">
      <w:start w:val="1"/>
      <w:numFmt w:val="bullet"/>
      <w:lvlText w:val="o"/>
      <w:lvlJc w:val="left"/>
      <w:pPr>
        <w:ind w:left="3600" w:hanging="360"/>
      </w:pPr>
      <w:rPr>
        <w:rFonts w:ascii="Courier New" w:hAnsi="Courier New" w:cs="Courier New" w:hint="default"/>
      </w:rPr>
    </w:lvl>
    <w:lvl w:ilvl="5" w:tplc="A0D0E7D6" w:tentative="1">
      <w:start w:val="1"/>
      <w:numFmt w:val="bullet"/>
      <w:lvlText w:val=""/>
      <w:lvlJc w:val="left"/>
      <w:pPr>
        <w:ind w:left="4320" w:hanging="360"/>
      </w:pPr>
      <w:rPr>
        <w:rFonts w:ascii="Wingdings" w:hAnsi="Wingdings" w:hint="default"/>
      </w:rPr>
    </w:lvl>
    <w:lvl w:ilvl="6" w:tplc="C08C3C66" w:tentative="1">
      <w:start w:val="1"/>
      <w:numFmt w:val="bullet"/>
      <w:lvlText w:val=""/>
      <w:lvlJc w:val="left"/>
      <w:pPr>
        <w:ind w:left="5040" w:hanging="360"/>
      </w:pPr>
      <w:rPr>
        <w:rFonts w:ascii="Symbol" w:hAnsi="Symbol" w:hint="default"/>
      </w:rPr>
    </w:lvl>
    <w:lvl w:ilvl="7" w:tplc="9CB44092" w:tentative="1">
      <w:start w:val="1"/>
      <w:numFmt w:val="bullet"/>
      <w:lvlText w:val="o"/>
      <w:lvlJc w:val="left"/>
      <w:pPr>
        <w:ind w:left="5760" w:hanging="360"/>
      </w:pPr>
      <w:rPr>
        <w:rFonts w:ascii="Courier New" w:hAnsi="Courier New" w:cs="Courier New" w:hint="default"/>
      </w:rPr>
    </w:lvl>
    <w:lvl w:ilvl="8" w:tplc="9296FBA8"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
  </w:num>
  <w:num w:numId="5">
    <w:abstractNumId w:val="0"/>
  </w:num>
  <w:num w:numId="6">
    <w:abstractNumId w:val="6"/>
  </w:num>
  <w:num w:numId="7">
    <w:abstractNumId w:val="3"/>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BD"/>
    <w:rsid w:val="00012A1C"/>
    <w:rsid w:val="0005018A"/>
    <w:rsid w:val="0006676F"/>
    <w:rsid w:val="00071BFE"/>
    <w:rsid w:val="0008621D"/>
    <w:rsid w:val="000B64A2"/>
    <w:rsid w:val="000D160F"/>
    <w:rsid w:val="000D5BFC"/>
    <w:rsid w:val="00105355"/>
    <w:rsid w:val="00195502"/>
    <w:rsid w:val="001B0430"/>
    <w:rsid w:val="001D3EFF"/>
    <w:rsid w:val="001E1EEB"/>
    <w:rsid w:val="001E589E"/>
    <w:rsid w:val="002116B7"/>
    <w:rsid w:val="002B2B76"/>
    <w:rsid w:val="00335133"/>
    <w:rsid w:val="00360B3D"/>
    <w:rsid w:val="00365D01"/>
    <w:rsid w:val="00366146"/>
    <w:rsid w:val="00366A36"/>
    <w:rsid w:val="0039085D"/>
    <w:rsid w:val="003E14CE"/>
    <w:rsid w:val="004832A9"/>
    <w:rsid w:val="004B6B8C"/>
    <w:rsid w:val="00576E24"/>
    <w:rsid w:val="005C24AC"/>
    <w:rsid w:val="005D757F"/>
    <w:rsid w:val="005E7EA4"/>
    <w:rsid w:val="006558C1"/>
    <w:rsid w:val="006847B6"/>
    <w:rsid w:val="00703A83"/>
    <w:rsid w:val="007336A0"/>
    <w:rsid w:val="00735616"/>
    <w:rsid w:val="0076158C"/>
    <w:rsid w:val="00762E34"/>
    <w:rsid w:val="007B6190"/>
    <w:rsid w:val="008004E2"/>
    <w:rsid w:val="0082068D"/>
    <w:rsid w:val="00851433"/>
    <w:rsid w:val="00860A07"/>
    <w:rsid w:val="008739C5"/>
    <w:rsid w:val="0089187D"/>
    <w:rsid w:val="008E71D9"/>
    <w:rsid w:val="009355CB"/>
    <w:rsid w:val="00944750"/>
    <w:rsid w:val="00944EEF"/>
    <w:rsid w:val="00960AD3"/>
    <w:rsid w:val="0099790C"/>
    <w:rsid w:val="009E0283"/>
    <w:rsid w:val="009F2EA0"/>
    <w:rsid w:val="00A25CFD"/>
    <w:rsid w:val="00A55893"/>
    <w:rsid w:val="00A95F24"/>
    <w:rsid w:val="00B45320"/>
    <w:rsid w:val="00B6258D"/>
    <w:rsid w:val="00BC3B18"/>
    <w:rsid w:val="00BD1F47"/>
    <w:rsid w:val="00BD2BA1"/>
    <w:rsid w:val="00C0488A"/>
    <w:rsid w:val="00C25E6F"/>
    <w:rsid w:val="00C979DA"/>
    <w:rsid w:val="00CD3134"/>
    <w:rsid w:val="00CF6CA7"/>
    <w:rsid w:val="00D049BD"/>
    <w:rsid w:val="00D17E47"/>
    <w:rsid w:val="00D75C5F"/>
    <w:rsid w:val="00D95EA8"/>
    <w:rsid w:val="00DD3CD6"/>
    <w:rsid w:val="00DD79DD"/>
    <w:rsid w:val="00E037EB"/>
    <w:rsid w:val="00E2194F"/>
    <w:rsid w:val="00E27EC7"/>
    <w:rsid w:val="00E51CF6"/>
    <w:rsid w:val="00E70D62"/>
    <w:rsid w:val="00EB2514"/>
    <w:rsid w:val="00EF176A"/>
    <w:rsid w:val="00F07F02"/>
    <w:rsid w:val="00F61DBD"/>
    <w:rsid w:val="00F8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FA48"/>
  <w15:chartTrackingRefBased/>
  <w15:docId w15:val="{6C9AA490-E090-4526-838A-16FB4639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6B7"/>
  </w:style>
  <w:style w:type="paragraph" w:styleId="Heading1">
    <w:name w:val="heading 1"/>
    <w:basedOn w:val="Normal"/>
    <w:next w:val="Normal"/>
    <w:link w:val="Heading1Char"/>
    <w:uiPriority w:val="9"/>
    <w:qFormat/>
    <w:rsid w:val="002116B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116B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2116B7"/>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2116B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2116B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2116B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2116B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2116B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2116B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0D62"/>
    <w:pPr>
      <w:widowControl w:val="0"/>
      <w:spacing w:after="240"/>
      <w:ind w:firstLine="720"/>
    </w:pPr>
  </w:style>
  <w:style w:type="character" w:customStyle="1" w:styleId="BodyTextChar">
    <w:name w:val="Body Text Char"/>
    <w:basedOn w:val="DefaultParagraphFont"/>
    <w:link w:val="BodyText"/>
    <w:rsid w:val="00E70D62"/>
    <w:rPr>
      <w:rFonts w:ascii="Times New Roman" w:hAnsi="Times New Roman" w:cs="Times New Roman"/>
      <w:sz w:val="24"/>
      <w:szCs w:val="24"/>
    </w:rPr>
  </w:style>
  <w:style w:type="paragraph" w:customStyle="1" w:styleId="BodyTextContinued">
    <w:name w:val="Body Text Continued"/>
    <w:basedOn w:val="BodyText"/>
    <w:next w:val="BodyText"/>
    <w:rsid w:val="00E70D62"/>
    <w:pPr>
      <w:ind w:firstLine="0"/>
    </w:pPr>
    <w:rPr>
      <w:szCs w:val="20"/>
    </w:rPr>
  </w:style>
  <w:style w:type="paragraph" w:styleId="Quote">
    <w:name w:val="Quote"/>
    <w:basedOn w:val="Normal"/>
    <w:next w:val="Normal"/>
    <w:link w:val="QuoteChar"/>
    <w:uiPriority w:val="29"/>
    <w:qFormat/>
    <w:rsid w:val="002116B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116B7"/>
    <w:rPr>
      <w:rFonts w:asciiTheme="majorHAnsi" w:eastAsiaTheme="majorEastAsia" w:hAnsiTheme="majorHAnsi" w:cstheme="majorBidi"/>
      <w:color w:val="000000" w:themeColor="text1"/>
      <w:sz w:val="24"/>
      <w:szCs w:val="24"/>
    </w:rPr>
  </w:style>
  <w:style w:type="paragraph" w:styleId="Header">
    <w:name w:val="header"/>
    <w:basedOn w:val="Normal"/>
    <w:link w:val="HeaderChar"/>
    <w:rsid w:val="00E70D62"/>
    <w:pPr>
      <w:tabs>
        <w:tab w:val="center" w:pos="4680"/>
        <w:tab w:val="right" w:pos="9360"/>
      </w:tabs>
    </w:pPr>
  </w:style>
  <w:style w:type="character" w:customStyle="1" w:styleId="HeaderChar">
    <w:name w:val="Header Char"/>
    <w:basedOn w:val="DefaultParagraphFont"/>
    <w:link w:val="Header"/>
    <w:rsid w:val="00E70D62"/>
    <w:rPr>
      <w:rFonts w:ascii="Times New Roman" w:hAnsi="Times New Roman" w:cs="Times New Roman"/>
      <w:sz w:val="24"/>
      <w:szCs w:val="24"/>
    </w:rPr>
  </w:style>
  <w:style w:type="paragraph" w:styleId="Footer">
    <w:name w:val="footer"/>
    <w:basedOn w:val="Normal"/>
    <w:link w:val="FooterChar"/>
    <w:rsid w:val="00E70D62"/>
    <w:pPr>
      <w:tabs>
        <w:tab w:val="center" w:pos="4680"/>
        <w:tab w:val="right" w:pos="9360"/>
      </w:tabs>
    </w:pPr>
  </w:style>
  <w:style w:type="character" w:customStyle="1" w:styleId="FooterChar">
    <w:name w:val="Footer Char"/>
    <w:basedOn w:val="DefaultParagraphFont"/>
    <w:link w:val="Footer"/>
    <w:rsid w:val="00E70D62"/>
    <w:rPr>
      <w:rFonts w:ascii="Times New Roman" w:hAnsi="Times New Roman" w:cs="Times New Roman"/>
      <w:sz w:val="24"/>
      <w:szCs w:val="24"/>
    </w:rPr>
  </w:style>
  <w:style w:type="character" w:styleId="PageNumber">
    <w:name w:val="page number"/>
    <w:basedOn w:val="DefaultParagraphFont"/>
    <w:rsid w:val="00E70D62"/>
  </w:style>
  <w:style w:type="paragraph" w:styleId="ListParagraph">
    <w:name w:val="List Paragraph"/>
    <w:basedOn w:val="Normal"/>
    <w:uiPriority w:val="34"/>
    <w:qFormat/>
    <w:rsid w:val="00D049BD"/>
    <w:pPr>
      <w:ind w:left="720"/>
      <w:contextualSpacing/>
    </w:pPr>
  </w:style>
  <w:style w:type="character" w:customStyle="1" w:styleId="Heading1Char">
    <w:name w:val="Heading 1 Char"/>
    <w:basedOn w:val="DefaultParagraphFont"/>
    <w:link w:val="Heading1"/>
    <w:uiPriority w:val="9"/>
    <w:rsid w:val="002116B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2116B7"/>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2116B7"/>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2116B7"/>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2116B7"/>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2116B7"/>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2116B7"/>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2116B7"/>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2116B7"/>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2116B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116B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116B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116B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116B7"/>
    <w:rPr>
      <w:caps/>
      <w:color w:val="404040" w:themeColor="text1" w:themeTint="BF"/>
      <w:spacing w:val="20"/>
      <w:sz w:val="28"/>
      <w:szCs w:val="28"/>
    </w:rPr>
  </w:style>
  <w:style w:type="character" w:styleId="Strong">
    <w:name w:val="Strong"/>
    <w:basedOn w:val="DefaultParagraphFont"/>
    <w:uiPriority w:val="22"/>
    <w:qFormat/>
    <w:rsid w:val="002116B7"/>
    <w:rPr>
      <w:b/>
      <w:bCs/>
    </w:rPr>
  </w:style>
  <w:style w:type="character" w:styleId="Emphasis">
    <w:name w:val="Emphasis"/>
    <w:basedOn w:val="DefaultParagraphFont"/>
    <w:uiPriority w:val="20"/>
    <w:qFormat/>
    <w:rsid w:val="002116B7"/>
    <w:rPr>
      <w:i/>
      <w:iCs/>
      <w:color w:val="000000" w:themeColor="text1"/>
    </w:rPr>
  </w:style>
  <w:style w:type="paragraph" w:styleId="NoSpacing">
    <w:name w:val="No Spacing"/>
    <w:uiPriority w:val="1"/>
    <w:qFormat/>
    <w:rsid w:val="002116B7"/>
    <w:pPr>
      <w:spacing w:after="0" w:line="240" w:lineRule="auto"/>
    </w:pPr>
  </w:style>
  <w:style w:type="paragraph" w:styleId="IntenseQuote">
    <w:name w:val="Intense Quote"/>
    <w:basedOn w:val="Normal"/>
    <w:next w:val="Normal"/>
    <w:link w:val="IntenseQuoteChar"/>
    <w:uiPriority w:val="30"/>
    <w:qFormat/>
    <w:rsid w:val="002116B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116B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116B7"/>
    <w:rPr>
      <w:i/>
      <w:iCs/>
      <w:color w:val="595959" w:themeColor="text1" w:themeTint="A6"/>
    </w:rPr>
  </w:style>
  <w:style w:type="character" w:styleId="IntenseEmphasis">
    <w:name w:val="Intense Emphasis"/>
    <w:basedOn w:val="DefaultParagraphFont"/>
    <w:uiPriority w:val="21"/>
    <w:qFormat/>
    <w:rsid w:val="002116B7"/>
    <w:rPr>
      <w:b/>
      <w:bCs/>
      <w:i/>
      <w:iCs/>
      <w:caps w:val="0"/>
      <w:smallCaps w:val="0"/>
      <w:strike w:val="0"/>
      <w:dstrike w:val="0"/>
      <w:color w:val="ED7D31" w:themeColor="accent2"/>
    </w:rPr>
  </w:style>
  <w:style w:type="character" w:styleId="SubtleReference">
    <w:name w:val="Subtle Reference"/>
    <w:basedOn w:val="DefaultParagraphFont"/>
    <w:uiPriority w:val="31"/>
    <w:qFormat/>
    <w:rsid w:val="002116B7"/>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2116B7"/>
    <w:rPr>
      <w:b/>
      <w:bCs/>
      <w:caps w:val="0"/>
      <w:smallCaps/>
      <w:color w:val="auto"/>
      <w:spacing w:val="0"/>
      <w:u w:val="single"/>
    </w:rPr>
  </w:style>
  <w:style w:type="character" w:styleId="BookTitle">
    <w:name w:val="Book Title"/>
    <w:basedOn w:val="DefaultParagraphFont"/>
    <w:uiPriority w:val="33"/>
    <w:qFormat/>
    <w:rsid w:val="002116B7"/>
    <w:rPr>
      <w:b/>
      <w:bCs/>
      <w:caps w:val="0"/>
      <w:smallCaps/>
      <w:spacing w:val="0"/>
    </w:rPr>
  </w:style>
  <w:style w:type="paragraph" w:styleId="TOCHeading">
    <w:name w:val="TOC Heading"/>
    <w:basedOn w:val="Heading1"/>
    <w:next w:val="Normal"/>
    <w:uiPriority w:val="39"/>
    <w:semiHidden/>
    <w:unhideWhenUsed/>
    <w:qFormat/>
    <w:rsid w:val="002116B7"/>
    <w:pPr>
      <w:outlineLvl w:val="9"/>
    </w:pPr>
  </w:style>
  <w:style w:type="paragraph" w:styleId="FootnoteText">
    <w:name w:val="footnote text"/>
    <w:basedOn w:val="Normal"/>
    <w:link w:val="FootnoteTextChar"/>
    <w:uiPriority w:val="99"/>
    <w:semiHidden/>
    <w:unhideWhenUsed/>
    <w:rsid w:val="005E7E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EA4"/>
    <w:rPr>
      <w:sz w:val="20"/>
      <w:szCs w:val="20"/>
    </w:rPr>
  </w:style>
  <w:style w:type="character" w:styleId="FootnoteReference">
    <w:name w:val="footnote reference"/>
    <w:basedOn w:val="DefaultParagraphFont"/>
    <w:uiPriority w:val="99"/>
    <w:unhideWhenUsed/>
    <w:rsid w:val="005E7EA4"/>
    <w:rPr>
      <w:vertAlign w:val="superscript"/>
    </w:rPr>
  </w:style>
  <w:style w:type="character" w:styleId="Hyperlink">
    <w:name w:val="Hyperlink"/>
    <w:basedOn w:val="DefaultParagraphFont"/>
    <w:uiPriority w:val="99"/>
    <w:unhideWhenUsed/>
    <w:rsid w:val="003E14CE"/>
    <w:rPr>
      <w:color w:val="0563C1" w:themeColor="hyperlink"/>
      <w:u w:val="single"/>
    </w:rPr>
  </w:style>
  <w:style w:type="character" w:customStyle="1" w:styleId="UnresolvedMention1">
    <w:name w:val="Unresolved Mention1"/>
    <w:basedOn w:val="DefaultParagraphFont"/>
    <w:uiPriority w:val="99"/>
    <w:semiHidden/>
    <w:unhideWhenUsed/>
    <w:rsid w:val="003E1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wysk/what-you-should-know-about-covid-19-and-ada-rehabilitation-act-and-other-eeo-law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eoc.gov/wysk/what-you-should-know-about-covid-19-and-ada-rehabilitation-act-and-other-eeo-laws" TargetMode="External"/><Relationship Id="rId4" Type="http://schemas.openxmlformats.org/officeDocument/2006/relationships/settings" Target="settings.xml"/><Relationship Id="rId9" Type="http://schemas.openxmlformats.org/officeDocument/2006/relationships/hyperlink" Target="https://www.eeoc.gov/laws/guidance/section-12-religious-discrimin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AB54F-92F2-3644-9B21-C4122FEE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1889</Words>
  <Characters>10768</Characters>
  <Application>Microsoft Office Word</Application>
  <DocSecurity>0</DocSecurity>
  <Lines>89</Lines>
  <Paragraphs>25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giannakas98@gmail.com</cp:lastModifiedBy>
  <cp:revision>4</cp:revision>
  <dcterms:created xsi:type="dcterms:W3CDTF">2021-08-16T16:37:00Z</dcterms:created>
  <dcterms:modified xsi:type="dcterms:W3CDTF">2021-08-16T17:04:00Z</dcterms:modified>
</cp:coreProperties>
</file>