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CC2" w:rsidRPr="00452FE2" w:rsidRDefault="00761CC2" w:rsidP="00761CC2">
      <w:pPr>
        <w:tabs>
          <w:tab w:val="left" w:pos="2955"/>
        </w:tabs>
        <w:rPr>
          <w:rFonts w:ascii="Arial Narrow" w:hAnsi="Arial Narrow" w:cs="Arial"/>
          <w:sz w:val="20"/>
          <w:szCs w:val="20"/>
          <w:vertAlign w:val="subscript"/>
        </w:rPr>
      </w:pPr>
    </w:p>
    <w:p w:rsidR="00761CC2" w:rsidRPr="008715FD" w:rsidRDefault="00761CC2" w:rsidP="008715FD">
      <w:pPr>
        <w:pStyle w:val="NoSpacing"/>
        <w:rPr>
          <w:rFonts w:ascii="Arial Narrow" w:hAnsi="Arial Narrow"/>
          <w:b/>
        </w:rPr>
      </w:pPr>
      <w:r w:rsidRPr="008715FD">
        <w:rPr>
          <w:rFonts w:ascii="Arial Narrow" w:hAnsi="Arial Narrow"/>
          <w:b/>
        </w:rPr>
        <w:t>DATE:</w:t>
      </w:r>
      <w:r w:rsidRPr="008715FD">
        <w:rPr>
          <w:rFonts w:ascii="Arial Narrow" w:hAnsi="Arial Narrow"/>
          <w:b/>
        </w:rPr>
        <w:tab/>
      </w:r>
      <w:r w:rsidRPr="008715FD">
        <w:rPr>
          <w:rFonts w:ascii="Arial Narrow" w:hAnsi="Arial Narrow"/>
          <w:b/>
        </w:rPr>
        <w:tab/>
        <w:t>June 14, 2016</w:t>
      </w:r>
    </w:p>
    <w:p w:rsidR="00761CC2" w:rsidRPr="008715FD" w:rsidRDefault="00761CC2" w:rsidP="008715FD">
      <w:pPr>
        <w:pStyle w:val="NoSpacing"/>
        <w:rPr>
          <w:rFonts w:ascii="Arial Narrow" w:hAnsi="Arial Narrow"/>
          <w:b/>
        </w:rPr>
      </w:pPr>
    </w:p>
    <w:p w:rsidR="00761CC2" w:rsidRPr="008715FD" w:rsidRDefault="00761CC2" w:rsidP="008715FD">
      <w:pPr>
        <w:pStyle w:val="NoSpacing"/>
        <w:rPr>
          <w:rFonts w:ascii="Arial Narrow" w:hAnsi="Arial Narrow"/>
          <w:b/>
        </w:rPr>
      </w:pPr>
      <w:r w:rsidRPr="008715FD">
        <w:rPr>
          <w:rFonts w:ascii="Arial Narrow" w:hAnsi="Arial Narrow"/>
          <w:b/>
        </w:rPr>
        <w:t>TO:</w:t>
      </w:r>
      <w:r w:rsidRPr="008715FD">
        <w:rPr>
          <w:rFonts w:ascii="Arial Narrow" w:hAnsi="Arial Narrow"/>
          <w:b/>
        </w:rPr>
        <w:tab/>
      </w:r>
      <w:r w:rsidRPr="008715FD">
        <w:rPr>
          <w:rFonts w:ascii="Arial Narrow" w:hAnsi="Arial Narrow"/>
          <w:b/>
        </w:rPr>
        <w:tab/>
        <w:t xml:space="preserve">The Honorable Mark Stone, Chair, </w:t>
      </w:r>
      <w:proofErr w:type="gramStart"/>
      <w:r w:rsidRPr="008715FD">
        <w:rPr>
          <w:rFonts w:ascii="Arial Narrow" w:hAnsi="Arial Narrow"/>
          <w:b/>
        </w:rPr>
        <w:t>Assembly</w:t>
      </w:r>
      <w:proofErr w:type="gramEnd"/>
      <w:r w:rsidRPr="008715FD">
        <w:rPr>
          <w:rFonts w:ascii="Arial Narrow" w:hAnsi="Arial Narrow"/>
          <w:b/>
        </w:rPr>
        <w:t xml:space="preserve"> Judiciary Committee</w:t>
      </w:r>
    </w:p>
    <w:p w:rsidR="00761CC2" w:rsidRPr="008715FD" w:rsidRDefault="00761CC2" w:rsidP="008715FD">
      <w:pPr>
        <w:pStyle w:val="NoSpacing"/>
        <w:rPr>
          <w:rFonts w:ascii="Arial Narrow" w:hAnsi="Arial Narrow"/>
          <w:b/>
        </w:rPr>
      </w:pPr>
      <w:r w:rsidRPr="008715FD">
        <w:rPr>
          <w:rFonts w:ascii="Arial Narrow" w:hAnsi="Arial Narrow"/>
          <w:b/>
        </w:rPr>
        <w:tab/>
      </w:r>
      <w:r w:rsidRPr="008715FD">
        <w:rPr>
          <w:rFonts w:ascii="Arial Narrow" w:hAnsi="Arial Narrow"/>
          <w:b/>
        </w:rPr>
        <w:tab/>
        <w:t>The Honorable Don Wagner, Vice Chair, Assembly Judiciary Committee</w:t>
      </w:r>
    </w:p>
    <w:p w:rsidR="00761CC2" w:rsidRPr="008715FD" w:rsidRDefault="00761CC2" w:rsidP="008715FD">
      <w:pPr>
        <w:pStyle w:val="NoSpacing"/>
        <w:rPr>
          <w:rFonts w:ascii="Arial Narrow" w:hAnsi="Arial Narrow"/>
          <w:b/>
        </w:rPr>
      </w:pPr>
      <w:r w:rsidRPr="008715FD">
        <w:rPr>
          <w:rFonts w:ascii="Arial Narrow" w:hAnsi="Arial Narrow"/>
          <w:b/>
        </w:rPr>
        <w:tab/>
      </w:r>
      <w:r w:rsidRPr="008715FD">
        <w:rPr>
          <w:rFonts w:ascii="Arial Narrow" w:hAnsi="Arial Narrow"/>
          <w:b/>
        </w:rPr>
        <w:tab/>
        <w:t>Members, Assembly Judiciary Committee</w:t>
      </w:r>
    </w:p>
    <w:p w:rsidR="00761CC2" w:rsidRPr="008715FD" w:rsidRDefault="00761CC2" w:rsidP="008715FD">
      <w:pPr>
        <w:pStyle w:val="NoSpacing"/>
        <w:rPr>
          <w:rFonts w:ascii="Arial Narrow" w:hAnsi="Arial Narrow"/>
          <w:b/>
        </w:rPr>
      </w:pPr>
      <w:r w:rsidRPr="008715FD">
        <w:rPr>
          <w:rFonts w:ascii="Arial Narrow" w:hAnsi="Arial Narrow"/>
          <w:b/>
        </w:rPr>
        <w:tab/>
      </w:r>
    </w:p>
    <w:p w:rsidR="00761CC2" w:rsidRPr="008715FD" w:rsidRDefault="00761CC2" w:rsidP="008715FD">
      <w:pPr>
        <w:rPr>
          <w:rFonts w:ascii="Arial Narrow" w:hAnsi="Arial Narrow"/>
          <w:b/>
          <w:sz w:val="22"/>
          <w:szCs w:val="22"/>
        </w:rPr>
      </w:pPr>
      <w:r w:rsidRPr="008715FD">
        <w:rPr>
          <w:rFonts w:ascii="Arial Narrow" w:hAnsi="Arial Narrow"/>
          <w:b/>
          <w:sz w:val="22"/>
          <w:szCs w:val="22"/>
        </w:rPr>
        <w:t>FROM:</w:t>
      </w:r>
      <w:r w:rsidRPr="008715FD">
        <w:rPr>
          <w:rFonts w:ascii="Arial Narrow" w:hAnsi="Arial Narrow"/>
          <w:b/>
          <w:sz w:val="22"/>
          <w:szCs w:val="22"/>
        </w:rPr>
        <w:tab/>
      </w:r>
      <w:r w:rsidRPr="008715FD">
        <w:rPr>
          <w:rFonts w:ascii="Arial Narrow" w:hAnsi="Arial Narrow"/>
          <w:b/>
          <w:sz w:val="22"/>
          <w:szCs w:val="22"/>
        </w:rPr>
        <w:tab/>
        <w:t>Air Conditioning Sheet Metal Association (ACSMA)</w:t>
      </w:r>
    </w:p>
    <w:p w:rsidR="00761CC2" w:rsidRPr="008715FD" w:rsidRDefault="00761CC2" w:rsidP="008715FD">
      <w:pPr>
        <w:ind w:left="720" w:firstLine="720"/>
        <w:rPr>
          <w:rFonts w:ascii="Arial Narrow" w:hAnsi="Arial Narrow"/>
          <w:b/>
          <w:sz w:val="22"/>
          <w:szCs w:val="22"/>
        </w:rPr>
      </w:pPr>
      <w:r w:rsidRPr="008715FD">
        <w:rPr>
          <w:rFonts w:ascii="Arial Narrow" w:hAnsi="Arial Narrow"/>
          <w:b/>
          <w:sz w:val="22"/>
          <w:szCs w:val="22"/>
        </w:rPr>
        <w:t>Associated General Contractors (AGC)</w:t>
      </w:r>
    </w:p>
    <w:p w:rsidR="00761CC2" w:rsidRPr="008715FD" w:rsidRDefault="00761CC2" w:rsidP="008715FD">
      <w:pPr>
        <w:ind w:left="720" w:firstLine="720"/>
        <w:rPr>
          <w:rFonts w:ascii="Arial Narrow" w:hAnsi="Arial Narrow"/>
          <w:b/>
          <w:sz w:val="22"/>
          <w:szCs w:val="22"/>
        </w:rPr>
      </w:pPr>
      <w:r w:rsidRPr="008715FD">
        <w:rPr>
          <w:rFonts w:ascii="Arial Narrow" w:hAnsi="Arial Narrow"/>
          <w:b/>
          <w:sz w:val="22"/>
          <w:szCs w:val="22"/>
        </w:rPr>
        <w:t>California Association of Sheet Metal and Air Conditioning Contractors, National Association</w:t>
      </w:r>
    </w:p>
    <w:p w:rsidR="00761CC2" w:rsidRPr="008715FD" w:rsidRDefault="00761CC2" w:rsidP="008715FD">
      <w:pPr>
        <w:ind w:left="720" w:firstLine="720"/>
        <w:rPr>
          <w:rFonts w:ascii="Arial Narrow" w:hAnsi="Arial Narrow"/>
          <w:b/>
          <w:sz w:val="22"/>
          <w:szCs w:val="22"/>
        </w:rPr>
      </w:pPr>
      <w:r w:rsidRPr="008715FD">
        <w:rPr>
          <w:rFonts w:ascii="Arial Narrow" w:hAnsi="Arial Narrow"/>
          <w:b/>
          <w:sz w:val="22"/>
          <w:szCs w:val="22"/>
        </w:rPr>
        <w:t>California Building Industry Association (CBIA)</w:t>
      </w:r>
    </w:p>
    <w:p w:rsidR="00761CC2" w:rsidRPr="008715FD" w:rsidRDefault="00761CC2" w:rsidP="008715FD">
      <w:pPr>
        <w:ind w:left="720" w:firstLine="720"/>
        <w:rPr>
          <w:rFonts w:ascii="Arial Narrow" w:hAnsi="Arial Narrow"/>
          <w:b/>
          <w:sz w:val="22"/>
          <w:szCs w:val="22"/>
        </w:rPr>
      </w:pPr>
      <w:r w:rsidRPr="008715FD">
        <w:rPr>
          <w:rFonts w:ascii="Arial Narrow" w:hAnsi="Arial Narrow"/>
          <w:b/>
          <w:sz w:val="22"/>
          <w:szCs w:val="22"/>
        </w:rPr>
        <w:t>California Chapters of the National Electrical Contractors Association (NECA)</w:t>
      </w:r>
    </w:p>
    <w:p w:rsidR="00761CC2" w:rsidRPr="008715FD" w:rsidRDefault="00761CC2" w:rsidP="008715FD">
      <w:pPr>
        <w:ind w:left="720" w:firstLine="720"/>
        <w:rPr>
          <w:rFonts w:ascii="Arial Narrow" w:hAnsi="Arial Narrow"/>
          <w:b/>
          <w:sz w:val="22"/>
          <w:szCs w:val="22"/>
        </w:rPr>
      </w:pPr>
      <w:r w:rsidRPr="008715FD">
        <w:rPr>
          <w:rFonts w:ascii="Arial Narrow" w:hAnsi="Arial Narrow"/>
          <w:b/>
          <w:sz w:val="22"/>
          <w:szCs w:val="22"/>
        </w:rPr>
        <w:t>California Legislative Conference of the Plumbing, Heating and Piping Industry (CLC)</w:t>
      </w:r>
    </w:p>
    <w:p w:rsidR="00761CC2" w:rsidRPr="008715FD" w:rsidRDefault="00761CC2" w:rsidP="008715FD">
      <w:pPr>
        <w:ind w:left="720" w:firstLine="720"/>
        <w:rPr>
          <w:rFonts w:ascii="Arial Narrow" w:hAnsi="Arial Narrow"/>
          <w:b/>
          <w:sz w:val="22"/>
          <w:szCs w:val="22"/>
        </w:rPr>
      </w:pPr>
      <w:r w:rsidRPr="008715FD">
        <w:rPr>
          <w:rFonts w:ascii="Arial Narrow" w:hAnsi="Arial Narrow"/>
          <w:b/>
          <w:sz w:val="22"/>
          <w:szCs w:val="22"/>
        </w:rPr>
        <w:t>California –Nevada Conference of Operating Engineers</w:t>
      </w:r>
    </w:p>
    <w:p w:rsidR="00761CC2" w:rsidRPr="008715FD" w:rsidRDefault="00761CC2" w:rsidP="008715FD">
      <w:pPr>
        <w:ind w:left="720" w:firstLine="720"/>
        <w:rPr>
          <w:rFonts w:ascii="Arial Narrow" w:hAnsi="Arial Narrow"/>
          <w:b/>
          <w:sz w:val="22"/>
          <w:szCs w:val="22"/>
        </w:rPr>
      </w:pPr>
      <w:r w:rsidRPr="008715FD">
        <w:rPr>
          <w:rFonts w:ascii="Arial Narrow" w:hAnsi="Arial Narrow"/>
          <w:b/>
          <w:sz w:val="22"/>
          <w:szCs w:val="22"/>
        </w:rPr>
        <w:t>California State Association of Electrical Workers</w:t>
      </w:r>
    </w:p>
    <w:p w:rsidR="00761CC2" w:rsidRPr="008715FD" w:rsidRDefault="00761CC2" w:rsidP="008715FD">
      <w:pPr>
        <w:ind w:left="720" w:firstLine="720"/>
        <w:rPr>
          <w:rFonts w:ascii="Arial Narrow" w:hAnsi="Arial Narrow"/>
          <w:b/>
          <w:sz w:val="22"/>
          <w:szCs w:val="22"/>
        </w:rPr>
      </w:pPr>
      <w:r w:rsidRPr="008715FD">
        <w:rPr>
          <w:rFonts w:ascii="Arial Narrow" w:hAnsi="Arial Narrow"/>
          <w:b/>
          <w:sz w:val="22"/>
          <w:szCs w:val="22"/>
        </w:rPr>
        <w:t>California State Council of Laborers</w:t>
      </w:r>
    </w:p>
    <w:p w:rsidR="00761CC2" w:rsidRPr="008715FD" w:rsidRDefault="00761CC2" w:rsidP="008715FD">
      <w:pPr>
        <w:ind w:left="720" w:firstLine="720"/>
        <w:rPr>
          <w:rFonts w:ascii="Arial Narrow" w:hAnsi="Arial Narrow"/>
          <w:b/>
          <w:sz w:val="22"/>
          <w:szCs w:val="22"/>
        </w:rPr>
      </w:pPr>
      <w:r w:rsidRPr="008715FD">
        <w:rPr>
          <w:rFonts w:ascii="Arial Narrow" w:hAnsi="Arial Narrow"/>
          <w:b/>
          <w:sz w:val="22"/>
          <w:szCs w:val="22"/>
        </w:rPr>
        <w:t>California State Pipe Trades Council</w:t>
      </w:r>
    </w:p>
    <w:p w:rsidR="00761CC2" w:rsidRPr="008715FD" w:rsidRDefault="00761CC2" w:rsidP="008715FD">
      <w:pPr>
        <w:ind w:left="720" w:firstLine="720"/>
        <w:rPr>
          <w:rFonts w:ascii="Arial Narrow" w:hAnsi="Arial Narrow"/>
          <w:b/>
          <w:sz w:val="22"/>
          <w:szCs w:val="22"/>
        </w:rPr>
      </w:pPr>
      <w:r w:rsidRPr="008715FD">
        <w:rPr>
          <w:rFonts w:ascii="Arial Narrow" w:hAnsi="Arial Narrow"/>
          <w:b/>
          <w:sz w:val="22"/>
          <w:szCs w:val="22"/>
        </w:rPr>
        <w:t>Construction Employers Association (CEA)</w:t>
      </w:r>
    </w:p>
    <w:p w:rsidR="00761CC2" w:rsidRDefault="00761CC2" w:rsidP="008715FD">
      <w:pPr>
        <w:ind w:left="720" w:firstLine="720"/>
        <w:rPr>
          <w:rFonts w:ascii="Arial Narrow" w:hAnsi="Arial Narrow"/>
          <w:b/>
          <w:bCs/>
          <w:sz w:val="22"/>
          <w:szCs w:val="22"/>
        </w:rPr>
      </w:pPr>
      <w:r w:rsidRPr="008715FD">
        <w:rPr>
          <w:rFonts w:ascii="Arial Narrow" w:hAnsi="Arial Narrow"/>
          <w:b/>
          <w:bCs/>
          <w:sz w:val="22"/>
          <w:szCs w:val="22"/>
        </w:rPr>
        <w:t>Northern California Allied Trades (NCAT)</w:t>
      </w:r>
    </w:p>
    <w:p w:rsidR="00452FE2" w:rsidRPr="008715FD" w:rsidRDefault="00452FE2" w:rsidP="00452FE2">
      <w:pPr>
        <w:ind w:left="720" w:firstLine="720"/>
        <w:rPr>
          <w:rFonts w:ascii="Arial Narrow" w:hAnsi="Arial Narrow"/>
          <w:b/>
          <w:sz w:val="22"/>
          <w:szCs w:val="22"/>
        </w:rPr>
      </w:pPr>
      <w:r w:rsidRPr="008715FD">
        <w:rPr>
          <w:rFonts w:ascii="Arial Narrow" w:hAnsi="Arial Narrow"/>
          <w:b/>
          <w:sz w:val="22"/>
          <w:szCs w:val="22"/>
        </w:rPr>
        <w:t>Sheet Metal Worker</w:t>
      </w:r>
      <w:r>
        <w:rPr>
          <w:rFonts w:ascii="Arial Narrow" w:hAnsi="Arial Narrow"/>
          <w:b/>
          <w:sz w:val="22"/>
          <w:szCs w:val="22"/>
        </w:rPr>
        <w:t>s</w:t>
      </w:r>
    </w:p>
    <w:p w:rsidR="00761CC2" w:rsidRPr="008715FD" w:rsidRDefault="00761CC2" w:rsidP="008715FD">
      <w:pPr>
        <w:ind w:left="720" w:firstLine="720"/>
        <w:rPr>
          <w:rFonts w:ascii="Arial Narrow" w:hAnsi="Arial Narrow"/>
          <w:b/>
          <w:sz w:val="22"/>
          <w:szCs w:val="22"/>
        </w:rPr>
      </w:pPr>
      <w:r w:rsidRPr="008715FD">
        <w:rPr>
          <w:rFonts w:ascii="Arial Narrow" w:hAnsi="Arial Narrow"/>
          <w:b/>
          <w:bCs/>
          <w:sz w:val="22"/>
          <w:szCs w:val="22"/>
        </w:rPr>
        <w:t>Southern California Contractors Association (SCCA)</w:t>
      </w:r>
    </w:p>
    <w:p w:rsidR="00761CC2" w:rsidRPr="008715FD" w:rsidRDefault="00761CC2" w:rsidP="008715FD">
      <w:pPr>
        <w:ind w:left="720" w:firstLine="720"/>
        <w:rPr>
          <w:rFonts w:ascii="Arial Narrow" w:hAnsi="Arial Narrow"/>
          <w:b/>
          <w:sz w:val="22"/>
          <w:szCs w:val="22"/>
        </w:rPr>
      </w:pPr>
      <w:r w:rsidRPr="008715FD">
        <w:rPr>
          <w:rFonts w:ascii="Arial Narrow" w:hAnsi="Arial Narrow"/>
          <w:b/>
          <w:sz w:val="22"/>
          <w:szCs w:val="22"/>
        </w:rPr>
        <w:t>State Building and Construction Trades Council of California</w:t>
      </w:r>
    </w:p>
    <w:p w:rsidR="00761CC2" w:rsidRPr="008715FD" w:rsidRDefault="00761CC2" w:rsidP="008715FD">
      <w:pPr>
        <w:ind w:left="720" w:firstLine="720"/>
        <w:rPr>
          <w:rFonts w:ascii="Arial Narrow" w:hAnsi="Arial Narrow"/>
          <w:b/>
          <w:sz w:val="22"/>
          <w:szCs w:val="22"/>
        </w:rPr>
      </w:pPr>
      <w:r w:rsidRPr="008715FD">
        <w:rPr>
          <w:rFonts w:ascii="Arial Narrow" w:hAnsi="Arial Narrow"/>
          <w:b/>
          <w:bCs/>
          <w:sz w:val="22"/>
          <w:szCs w:val="22"/>
        </w:rPr>
        <w:t>United Contractors (UCON)</w:t>
      </w:r>
    </w:p>
    <w:p w:rsidR="00761CC2" w:rsidRPr="008715FD" w:rsidRDefault="00761CC2" w:rsidP="008715FD">
      <w:pPr>
        <w:ind w:left="720" w:firstLine="720"/>
        <w:rPr>
          <w:rFonts w:ascii="Arial Narrow" w:hAnsi="Arial Narrow"/>
          <w:b/>
          <w:sz w:val="22"/>
          <w:szCs w:val="22"/>
        </w:rPr>
      </w:pPr>
      <w:r w:rsidRPr="008715FD">
        <w:rPr>
          <w:rFonts w:ascii="Arial Narrow" w:hAnsi="Arial Narrow"/>
          <w:b/>
          <w:bCs/>
          <w:sz w:val="22"/>
          <w:szCs w:val="22"/>
        </w:rPr>
        <w:t xml:space="preserve">Wall </w:t>
      </w:r>
      <w:proofErr w:type="gramStart"/>
      <w:r w:rsidRPr="008715FD">
        <w:rPr>
          <w:rFonts w:ascii="Arial Narrow" w:hAnsi="Arial Narrow"/>
          <w:b/>
          <w:bCs/>
          <w:sz w:val="22"/>
          <w:szCs w:val="22"/>
        </w:rPr>
        <w:t>And</w:t>
      </w:r>
      <w:proofErr w:type="gramEnd"/>
      <w:r w:rsidRPr="008715FD">
        <w:rPr>
          <w:rFonts w:ascii="Arial Narrow" w:hAnsi="Arial Narrow"/>
          <w:b/>
          <w:bCs/>
          <w:sz w:val="22"/>
          <w:szCs w:val="22"/>
        </w:rPr>
        <w:t xml:space="preserve"> Ceiling Alliance (WACA)</w:t>
      </w:r>
    </w:p>
    <w:p w:rsidR="008715FD" w:rsidRPr="008715FD" w:rsidRDefault="008715FD" w:rsidP="008715FD">
      <w:pPr>
        <w:rPr>
          <w:rFonts w:ascii="Arial Narrow" w:hAnsi="Arial Narrow"/>
          <w:b/>
          <w:sz w:val="22"/>
          <w:szCs w:val="22"/>
        </w:rPr>
      </w:pPr>
    </w:p>
    <w:p w:rsidR="00761CC2" w:rsidRPr="008715FD" w:rsidRDefault="008715FD" w:rsidP="008715FD">
      <w:pPr>
        <w:rPr>
          <w:rFonts w:ascii="Arial Narrow" w:hAnsi="Arial Narrow"/>
          <w:b/>
          <w:sz w:val="22"/>
          <w:szCs w:val="22"/>
        </w:rPr>
      </w:pPr>
      <w:r w:rsidRPr="008715FD">
        <w:rPr>
          <w:rFonts w:ascii="Arial Narrow" w:hAnsi="Arial Narrow"/>
          <w:b/>
          <w:sz w:val="22"/>
          <w:szCs w:val="22"/>
        </w:rPr>
        <w:t xml:space="preserve">RE: </w:t>
      </w:r>
      <w:r w:rsidRPr="008715FD">
        <w:rPr>
          <w:rFonts w:ascii="Arial Narrow" w:hAnsi="Arial Narrow"/>
          <w:b/>
          <w:sz w:val="22"/>
          <w:szCs w:val="22"/>
        </w:rPr>
        <w:tab/>
      </w:r>
      <w:r w:rsidRPr="008715FD">
        <w:rPr>
          <w:rFonts w:ascii="Arial Narrow" w:hAnsi="Arial Narrow"/>
          <w:b/>
          <w:sz w:val="22"/>
          <w:szCs w:val="22"/>
        </w:rPr>
        <w:tab/>
        <w:t>SB 885 (</w:t>
      </w:r>
      <w:proofErr w:type="spellStart"/>
      <w:r w:rsidRPr="008715FD">
        <w:rPr>
          <w:rFonts w:ascii="Arial Narrow" w:hAnsi="Arial Narrow"/>
          <w:b/>
          <w:sz w:val="22"/>
          <w:szCs w:val="22"/>
        </w:rPr>
        <w:t>Wolk</w:t>
      </w:r>
      <w:proofErr w:type="spellEnd"/>
      <w:r w:rsidRPr="008715FD">
        <w:rPr>
          <w:rFonts w:ascii="Arial Narrow" w:hAnsi="Arial Narrow"/>
          <w:b/>
          <w:sz w:val="22"/>
          <w:szCs w:val="22"/>
        </w:rPr>
        <w:t>) - Oppose</w:t>
      </w:r>
      <w:r w:rsidR="00761CC2" w:rsidRPr="008715FD">
        <w:rPr>
          <w:rFonts w:ascii="Arial Narrow" w:hAnsi="Arial Narrow" w:cs="Arial"/>
          <w:b/>
          <w:bCs/>
          <w:sz w:val="22"/>
          <w:szCs w:val="22"/>
        </w:rPr>
        <w:tab/>
      </w:r>
    </w:p>
    <w:p w:rsidR="00761CC2" w:rsidRPr="008715FD" w:rsidRDefault="00761CC2" w:rsidP="008715FD">
      <w:pPr>
        <w:pStyle w:val="NoSpacing"/>
        <w:ind w:firstLine="720"/>
        <w:rPr>
          <w:rFonts w:ascii="Arial Narrow" w:hAnsi="Arial Narrow" w:cs="Arial"/>
          <w:b/>
          <w:bCs/>
        </w:rPr>
      </w:pPr>
    </w:p>
    <w:p w:rsidR="00761CC2" w:rsidRPr="008715FD" w:rsidRDefault="00761CC2" w:rsidP="008715FD">
      <w:pPr>
        <w:rPr>
          <w:rFonts w:ascii="Arial Narrow" w:hAnsi="Arial Narrow" w:cs="Arial"/>
          <w:sz w:val="22"/>
          <w:szCs w:val="22"/>
        </w:rPr>
      </w:pPr>
      <w:r w:rsidRPr="008715FD">
        <w:rPr>
          <w:rFonts w:ascii="Arial Narrow" w:hAnsi="Arial Narrow" w:cs="Arial"/>
          <w:sz w:val="22"/>
          <w:szCs w:val="22"/>
        </w:rPr>
        <w:t>On behalf of the above-referenced construction organizations, which are comprised of a significant number of all commercial, industrial and highway contractors and subcontractors in California, and the labor organizations they partner with, we are writing to convey our continued opposition to SB 885, as amended.</w:t>
      </w:r>
    </w:p>
    <w:p w:rsidR="00761CC2" w:rsidRPr="008715FD" w:rsidRDefault="00761CC2" w:rsidP="008715FD">
      <w:pPr>
        <w:rPr>
          <w:rFonts w:ascii="Arial Narrow" w:hAnsi="Arial Narrow" w:cs="Arial"/>
          <w:sz w:val="22"/>
          <w:szCs w:val="22"/>
        </w:rPr>
      </w:pPr>
    </w:p>
    <w:p w:rsidR="00761CC2" w:rsidRPr="008715FD" w:rsidRDefault="00761CC2" w:rsidP="008715FD">
      <w:pPr>
        <w:rPr>
          <w:rFonts w:ascii="Arial Narrow" w:hAnsi="Arial Narrow" w:cs="Arial"/>
          <w:sz w:val="22"/>
          <w:szCs w:val="22"/>
        </w:rPr>
      </w:pPr>
      <w:r w:rsidRPr="008715FD">
        <w:rPr>
          <w:rFonts w:ascii="Arial Narrow" w:hAnsi="Arial Narrow" w:cs="Arial"/>
          <w:sz w:val="22"/>
          <w:szCs w:val="22"/>
        </w:rPr>
        <w:t xml:space="preserve">As with 2010’s SB 972, sponsors of this bill contend that they are pursuing this measure because their errors and omissions policies do not provide coverage for the defense of claims against other persons and other entities involved in construction projects.   This assertion ignores several facts; 1) the underlying claims often relate to design professionals but cannot be brought against them directly, 2) eliminating defense obligations for design professionals’ increases costs for project owners and contractors, and 3) it is questionable public policy to reduce defense obligations for one party due to a purported defect in the insurance market.  </w:t>
      </w:r>
    </w:p>
    <w:p w:rsidR="00761CC2" w:rsidRPr="008715FD" w:rsidRDefault="00761CC2" w:rsidP="008715FD">
      <w:pPr>
        <w:rPr>
          <w:rFonts w:ascii="Arial Narrow" w:hAnsi="Arial Narrow" w:cs="Arial"/>
          <w:sz w:val="22"/>
          <w:szCs w:val="22"/>
        </w:rPr>
      </w:pPr>
    </w:p>
    <w:p w:rsidR="008715FD" w:rsidRDefault="008715FD" w:rsidP="008715FD">
      <w:pPr>
        <w:rPr>
          <w:rFonts w:ascii="Arial Narrow" w:hAnsi="Arial Narrow" w:cs="Arial"/>
          <w:sz w:val="22"/>
          <w:szCs w:val="22"/>
        </w:rPr>
      </w:pPr>
    </w:p>
    <w:p w:rsidR="008715FD" w:rsidRDefault="008715FD" w:rsidP="008715FD">
      <w:pPr>
        <w:rPr>
          <w:rFonts w:ascii="Arial Narrow" w:hAnsi="Arial Narrow" w:cs="Arial"/>
          <w:sz w:val="22"/>
          <w:szCs w:val="22"/>
        </w:rPr>
      </w:pPr>
    </w:p>
    <w:p w:rsidR="00761CC2" w:rsidRPr="008715FD" w:rsidRDefault="00761CC2" w:rsidP="008715FD">
      <w:pPr>
        <w:rPr>
          <w:rFonts w:ascii="Arial Narrow" w:hAnsi="Arial Narrow" w:cs="Arial"/>
          <w:sz w:val="22"/>
          <w:szCs w:val="22"/>
        </w:rPr>
      </w:pPr>
      <w:r w:rsidRPr="008715FD">
        <w:rPr>
          <w:rFonts w:ascii="Arial Narrow" w:hAnsi="Arial Narrow" w:cs="Arial"/>
          <w:sz w:val="22"/>
          <w:szCs w:val="22"/>
        </w:rPr>
        <w:t xml:space="preserve">Recent amendments do nothing to resolve the afore-mentioned issues, as they simply provide that the exemption from having to provide a defense does not apply if there is a general liability policy in place that covers defense obligations, or if the design professional is party to a design build contract.  The fundamental problem with the bill remains intact; design professionals want to avoid having to provide a defense based on a claimed lack of insurance. </w:t>
      </w:r>
    </w:p>
    <w:p w:rsidR="00761CC2" w:rsidRPr="008715FD" w:rsidRDefault="00761CC2" w:rsidP="008715FD">
      <w:pPr>
        <w:rPr>
          <w:rFonts w:ascii="Arial Narrow" w:hAnsi="Arial Narrow" w:cs="Arial"/>
          <w:sz w:val="22"/>
          <w:szCs w:val="22"/>
        </w:rPr>
      </w:pPr>
    </w:p>
    <w:p w:rsidR="00761CC2" w:rsidRPr="008715FD" w:rsidRDefault="00761CC2" w:rsidP="008715FD">
      <w:pPr>
        <w:rPr>
          <w:rFonts w:ascii="Arial Narrow" w:hAnsi="Arial Narrow" w:cs="Arial"/>
          <w:sz w:val="22"/>
          <w:szCs w:val="22"/>
        </w:rPr>
      </w:pPr>
      <w:r w:rsidRPr="008715FD">
        <w:rPr>
          <w:rFonts w:ascii="Arial Narrow" w:hAnsi="Arial Narrow" w:cs="Arial"/>
          <w:sz w:val="22"/>
          <w:szCs w:val="22"/>
        </w:rPr>
        <w:t xml:space="preserve">Under current practice, when a party brings suit against a project owner for what they contend is an issue related to project design; the project owner will tender a defense obligation to the design professional and the contractor. This joins the design professional to the claim and starts the defense expenses. Because defense costs start accruing immediately there is an inherent interest in expediting the claims resolution process.   In fact, in UDC-Universal Development, L.P. v. CH2M Hill, 181 Cal. App. 4th 10, 23 (2010), the Court of Appeal applied an existing statute (Civil Code Section 2778) and a Supreme Court case (Crawford) that construed the general rules applicable to indemnity, and held that design professionals are subject to the same duties as anyone else who signs an indemnity agreement.  However, according to the bill’s proponents, because the claim was brought against the project owner, versus the design professional, insurance will not cover the cost to defend the owner and as such the design professional should not have to bear any of the defense costs until the conclusion of the suit.  We question the accuracy of this claim and whether or not costs associated with providing a defense for a design professional’s negligent acts would in fact be losses that would be payable under a design professional’s error and omissions insurance, provided they have sufficient coverage.   </w:t>
      </w:r>
    </w:p>
    <w:p w:rsidR="00761CC2" w:rsidRPr="008715FD" w:rsidRDefault="00761CC2" w:rsidP="008715FD">
      <w:pPr>
        <w:rPr>
          <w:rFonts w:ascii="Arial Narrow" w:hAnsi="Arial Narrow" w:cs="Arial"/>
          <w:sz w:val="22"/>
          <w:szCs w:val="22"/>
        </w:rPr>
      </w:pPr>
    </w:p>
    <w:p w:rsidR="00761CC2" w:rsidRDefault="00761CC2" w:rsidP="008715FD">
      <w:pPr>
        <w:rPr>
          <w:rFonts w:ascii="Arial Narrow" w:hAnsi="Arial Narrow" w:cs="Arial"/>
          <w:sz w:val="22"/>
          <w:szCs w:val="22"/>
        </w:rPr>
      </w:pPr>
      <w:r w:rsidRPr="008715FD">
        <w:rPr>
          <w:rFonts w:ascii="Arial Narrow" w:hAnsi="Arial Narrow" w:cs="Arial"/>
          <w:sz w:val="22"/>
          <w:szCs w:val="22"/>
        </w:rPr>
        <w:t xml:space="preserve">Pursuant to this measure, the design professional would have no duty to defend claims against other persons or entities until the design professional’s degree of fault was as determined by a court or through arbitration; this would place all of the defense obligations on the contractor.   It would effectively require owners and others to take the design professional all the way through trial just to get defense fees and costs reimbursed, which would result in additional un-reimbursable recovery costs.  To the extent that a design professional was not involved in the defense it is unclear how forthcoming they would be with necessary documents related to the claim since they would have no skin in the game.    </w:t>
      </w:r>
    </w:p>
    <w:p w:rsidR="008715FD" w:rsidRDefault="008715FD" w:rsidP="008715FD">
      <w:pPr>
        <w:rPr>
          <w:rFonts w:ascii="Arial Narrow" w:hAnsi="Arial Narrow" w:cs="Arial"/>
          <w:sz w:val="22"/>
          <w:szCs w:val="22"/>
        </w:rPr>
      </w:pPr>
    </w:p>
    <w:p w:rsidR="008715FD" w:rsidRPr="008715FD" w:rsidRDefault="008715FD" w:rsidP="008715FD">
      <w:pPr>
        <w:rPr>
          <w:rFonts w:ascii="Arial Narrow" w:eastAsia="Calibri" w:hAnsi="Arial Narrow"/>
          <w:sz w:val="22"/>
          <w:szCs w:val="22"/>
        </w:rPr>
      </w:pPr>
      <w:r w:rsidRPr="008715FD">
        <w:rPr>
          <w:rFonts w:ascii="Arial Narrow" w:hAnsi="Arial Narrow" w:cs="Arial"/>
          <w:sz w:val="22"/>
          <w:szCs w:val="22"/>
        </w:rPr>
        <w:t xml:space="preserve">In addition, </w:t>
      </w:r>
      <w:r w:rsidRPr="008715FD">
        <w:rPr>
          <w:rFonts w:ascii="Arial Narrow" w:eastAsia="Calibri" w:hAnsi="Arial Narrow"/>
          <w:bCs/>
          <w:sz w:val="22"/>
          <w:szCs w:val="22"/>
        </w:rPr>
        <w:t xml:space="preserve">SB 885 jeopardizes delivery of needed public works projects. </w:t>
      </w:r>
      <w:r w:rsidRPr="008715FD">
        <w:rPr>
          <w:rFonts w:ascii="Arial Narrow" w:eastAsia="Calibri" w:hAnsi="Arial Narrow"/>
          <w:sz w:val="22"/>
          <w:szCs w:val="22"/>
        </w:rPr>
        <w:t xml:space="preserve">Shifting the costs of defense obligations to public entities and contractors will result in delays and increased costs in project delivery. These negative impacts on public works projects will likely lead to a reduction of infrastructure construction with no reduction in costs to the taxpayers. </w:t>
      </w:r>
      <w:r w:rsidRPr="008715FD">
        <w:rPr>
          <w:rFonts w:ascii="Arial Narrow" w:hAnsi="Arial Narrow"/>
          <w:sz w:val="22"/>
          <w:szCs w:val="22"/>
        </w:rPr>
        <w:t xml:space="preserve">This will impact </w:t>
      </w:r>
      <w:r w:rsidRPr="008715FD">
        <w:rPr>
          <w:rFonts w:ascii="Arial Narrow" w:eastAsia="Calibri" w:hAnsi="Arial Narrow"/>
          <w:bCs/>
          <w:sz w:val="22"/>
          <w:szCs w:val="22"/>
        </w:rPr>
        <w:t>employment of construction workers</w:t>
      </w:r>
      <w:r w:rsidRPr="008715FD">
        <w:rPr>
          <w:rFonts w:ascii="Arial Narrow" w:hAnsi="Arial Narrow"/>
          <w:bCs/>
          <w:sz w:val="22"/>
          <w:szCs w:val="22"/>
        </w:rPr>
        <w:t xml:space="preserve">.  </w:t>
      </w:r>
      <w:r w:rsidRPr="008715FD">
        <w:rPr>
          <w:rFonts w:ascii="Arial Narrow" w:eastAsia="Calibri" w:hAnsi="Arial Narrow"/>
          <w:sz w:val="22"/>
          <w:szCs w:val="22"/>
        </w:rPr>
        <w:t xml:space="preserve">If contractors are forced to shoulder the costs of litigation in these cases they will have less capital available to bid on new projects that would employ construction workers. </w:t>
      </w:r>
    </w:p>
    <w:p w:rsidR="00761CC2" w:rsidRPr="008715FD" w:rsidRDefault="00761CC2" w:rsidP="008715FD">
      <w:pPr>
        <w:rPr>
          <w:rFonts w:ascii="Arial Narrow" w:hAnsi="Arial Narrow" w:cs="Arial"/>
          <w:sz w:val="22"/>
          <w:szCs w:val="22"/>
        </w:rPr>
      </w:pPr>
    </w:p>
    <w:p w:rsidR="00761CC2" w:rsidRPr="008715FD" w:rsidRDefault="00761CC2" w:rsidP="008715FD">
      <w:pPr>
        <w:rPr>
          <w:rFonts w:ascii="Arial Narrow" w:hAnsi="Arial Narrow" w:cs="Arial"/>
          <w:sz w:val="22"/>
          <w:szCs w:val="22"/>
        </w:rPr>
      </w:pPr>
      <w:r w:rsidRPr="008715FD">
        <w:rPr>
          <w:rFonts w:ascii="Arial Narrow" w:hAnsi="Arial Narrow" w:cs="Arial"/>
          <w:sz w:val="22"/>
          <w:szCs w:val="22"/>
        </w:rPr>
        <w:t>SB 885 would adversely impact project owners, contractors, subcontractors</w:t>
      </w:r>
      <w:r w:rsidR="008715FD">
        <w:rPr>
          <w:rFonts w:ascii="Arial Narrow" w:hAnsi="Arial Narrow" w:cs="Arial"/>
          <w:sz w:val="22"/>
          <w:szCs w:val="22"/>
        </w:rPr>
        <w:t>, construction industry employees</w:t>
      </w:r>
      <w:r w:rsidRPr="008715FD">
        <w:rPr>
          <w:rFonts w:ascii="Arial Narrow" w:hAnsi="Arial Narrow" w:cs="Arial"/>
          <w:sz w:val="22"/>
          <w:szCs w:val="22"/>
        </w:rPr>
        <w:t xml:space="preserve"> and ultimately taxpayers, whose costs will likely go up as a result of the claims delays.  Further, SB 885 does nothing to resolve the purported insurance issue. Instead, it simply gives design professionals a free pass based on their assertion that they can’t purchase insurance to cover what may in fact be their own negligence. </w:t>
      </w:r>
    </w:p>
    <w:p w:rsidR="00761CC2" w:rsidRPr="008715FD" w:rsidRDefault="00761CC2" w:rsidP="008715FD">
      <w:pPr>
        <w:rPr>
          <w:rFonts w:ascii="Arial Narrow" w:hAnsi="Arial Narrow" w:cs="Arial"/>
          <w:sz w:val="22"/>
          <w:szCs w:val="22"/>
        </w:rPr>
      </w:pPr>
    </w:p>
    <w:p w:rsidR="00761CC2" w:rsidRPr="008715FD" w:rsidRDefault="00761CC2" w:rsidP="008715FD">
      <w:pPr>
        <w:rPr>
          <w:rFonts w:ascii="Arial Narrow" w:hAnsi="Arial Narrow" w:cs="Arial"/>
          <w:sz w:val="22"/>
          <w:szCs w:val="22"/>
        </w:rPr>
      </w:pPr>
      <w:r w:rsidRPr="008715FD">
        <w:rPr>
          <w:rFonts w:ascii="Arial Narrow" w:hAnsi="Arial Narrow" w:cs="Arial"/>
          <w:sz w:val="22"/>
          <w:szCs w:val="22"/>
        </w:rPr>
        <w:t xml:space="preserve">It is for the reasons above that these groups must respectfully oppose this measure.  </w:t>
      </w:r>
    </w:p>
    <w:p w:rsidR="00761CC2" w:rsidRPr="008715FD" w:rsidRDefault="00761CC2" w:rsidP="008715FD">
      <w:pPr>
        <w:rPr>
          <w:rFonts w:ascii="Arial Narrow" w:hAnsi="Arial Narrow" w:cs="Arial"/>
          <w:sz w:val="22"/>
          <w:szCs w:val="22"/>
        </w:rPr>
      </w:pPr>
    </w:p>
    <w:p w:rsidR="00E37177" w:rsidRDefault="00E37177">
      <w:pPr>
        <w:rPr>
          <w:rFonts w:ascii="Arial Narrow" w:hAnsi="Arial Narrow" w:cs="Arial"/>
        </w:rPr>
      </w:pPr>
    </w:p>
    <w:p w:rsidR="00E37177" w:rsidRDefault="00886289">
      <w:pPr>
        <w:pStyle w:val="NoSpacing"/>
        <w:tabs>
          <w:tab w:val="left" w:pos="7500"/>
        </w:tabs>
        <w:ind w:left="-432" w:right="-720" w:firstLine="1152"/>
        <w:rPr>
          <w:rFonts w:ascii="Arial Narrow" w:hAnsi="Arial Narrow" w:cs="Arial"/>
          <w:b/>
          <w:bCs/>
          <w:sz w:val="24"/>
          <w:szCs w:val="24"/>
        </w:rPr>
      </w:pPr>
      <w:r>
        <w:rPr>
          <w:rFonts w:ascii="Arial Narrow" w:hAnsi="Arial Narrow" w:cs="Arial"/>
          <w:b/>
          <w:bCs/>
          <w:sz w:val="24"/>
          <w:szCs w:val="24"/>
        </w:rPr>
        <w:tab/>
      </w:r>
    </w:p>
    <w:p w:rsidR="00E37177" w:rsidRDefault="00E37177">
      <w:pPr>
        <w:rPr>
          <w:rFonts w:ascii="Arial Narrow" w:hAnsi="Arial Narrow" w:cs="Arial"/>
        </w:rPr>
      </w:pPr>
      <w:bookmarkStart w:id="0" w:name="_GoBack"/>
      <w:bookmarkEnd w:id="0"/>
    </w:p>
    <w:sectPr w:rsidR="00E37177" w:rsidSect="00BB26F5">
      <w:headerReference w:type="default" r:id="rId8"/>
      <w:footerReference w:type="even" r:id="rId9"/>
      <w:headerReference w:type="first" r:id="rId10"/>
      <w:pgSz w:w="12240" w:h="15840"/>
      <w:pgMar w:top="1440" w:right="720" w:bottom="144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910" w:rsidRDefault="00581910">
      <w:r>
        <w:separator/>
      </w:r>
    </w:p>
  </w:endnote>
  <w:endnote w:type="continuationSeparator" w:id="0">
    <w:p w:rsidR="00581910" w:rsidRDefault="005819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1" w:name="_iDocIDFieldddc0754e-5eb7-458f-8a46-f877"/>
  <w:p w:rsidR="00E37177" w:rsidRDefault="001B5C25">
    <w:pPr>
      <w:pStyle w:val="DocID"/>
    </w:pPr>
    <w:r>
      <w:fldChar w:fldCharType="begin"/>
    </w:r>
    <w:r w:rsidR="00886289">
      <w:instrText xml:space="preserve">  DOCPROPERTY "CUS_DocIDChunk0" </w:instrText>
    </w:r>
    <w:r>
      <w:fldChar w:fldCharType="separate"/>
    </w:r>
    <w:r w:rsidR="00FE0B35">
      <w:t>16110767</w:t>
    </w:r>
    <w:proofErr w:type="gramStart"/>
    <w:r w:rsidR="00FE0B35">
      <w:t>.v1</w:t>
    </w:r>
    <w:proofErr w:type="gramEnd"/>
    <w:r>
      <w:fldChar w:fldCharType="end"/>
    </w:r>
    <w:bookmarkEnd w:id="1"/>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910" w:rsidRDefault="00581910">
      <w:r>
        <w:separator/>
      </w:r>
    </w:p>
  </w:footnote>
  <w:footnote w:type="continuationSeparator" w:id="0">
    <w:p w:rsidR="00581910" w:rsidRDefault="005819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B35" w:rsidRPr="00FE0B35" w:rsidRDefault="00FE0B35" w:rsidP="00FE0B35">
    <w:pPr>
      <w:pStyle w:val="NoSpacing"/>
      <w:rPr>
        <w:rFonts w:ascii="Arial Narrow" w:hAnsi="Arial Narrow"/>
        <w:sz w:val="20"/>
        <w:szCs w:val="20"/>
      </w:rPr>
    </w:pPr>
    <w:r w:rsidRPr="00FE0B35">
      <w:rPr>
        <w:rFonts w:ascii="Arial Narrow" w:hAnsi="Arial Narrow"/>
        <w:sz w:val="20"/>
        <w:szCs w:val="20"/>
      </w:rPr>
      <w:t>June 14, 2016</w:t>
    </w:r>
  </w:p>
  <w:p w:rsidR="00FE0B35" w:rsidRPr="00FE0B35" w:rsidRDefault="00FE0B35" w:rsidP="00FE0B35">
    <w:pPr>
      <w:pStyle w:val="NoSpacing"/>
      <w:rPr>
        <w:rFonts w:ascii="Arial Narrow" w:hAnsi="Arial Narrow"/>
        <w:sz w:val="20"/>
        <w:szCs w:val="20"/>
      </w:rPr>
    </w:pPr>
    <w:r w:rsidRPr="00FE0B35">
      <w:rPr>
        <w:rFonts w:ascii="Arial Narrow" w:hAnsi="Arial Narrow"/>
        <w:sz w:val="20"/>
        <w:szCs w:val="20"/>
      </w:rPr>
      <w:t>SB 885 (</w:t>
    </w:r>
    <w:proofErr w:type="spellStart"/>
    <w:r w:rsidRPr="00FE0B35">
      <w:rPr>
        <w:rFonts w:ascii="Arial Narrow" w:hAnsi="Arial Narrow"/>
        <w:sz w:val="20"/>
        <w:szCs w:val="20"/>
      </w:rPr>
      <w:t>Wolk</w:t>
    </w:r>
    <w:proofErr w:type="spellEnd"/>
    <w:r w:rsidRPr="00FE0B35">
      <w:rPr>
        <w:rFonts w:ascii="Arial Narrow" w:hAnsi="Arial Narrow"/>
        <w:sz w:val="20"/>
        <w:szCs w:val="20"/>
      </w:rPr>
      <w:t>) – OPPOSE</w:t>
    </w:r>
  </w:p>
  <w:p w:rsidR="00E37177" w:rsidRDefault="00FE0B35" w:rsidP="008715FD">
    <w:pPr>
      <w:pStyle w:val="NoSpacing"/>
    </w:pPr>
    <w:r w:rsidRPr="00FE0B35">
      <w:rPr>
        <w:rFonts w:ascii="Arial Narrow" w:hAnsi="Arial Narrow"/>
        <w:sz w:val="20"/>
        <w:szCs w:val="20"/>
      </w:rPr>
      <w:t>Page 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177" w:rsidRDefault="00886289">
    <w:pPr>
      <w:pStyle w:val="Header"/>
      <w:tabs>
        <w:tab w:val="clear" w:pos="9360"/>
      </w:tabs>
      <w:rPr>
        <w:noProof/>
      </w:rPr>
    </w:pPr>
    <w:r>
      <w:rPr>
        <w:noProof/>
      </w:rPr>
      <w:drawing>
        <wp:anchor distT="0" distB="0" distL="114300" distR="114300" simplePos="0" relativeHeight="251661312" behindDoc="0" locked="0" layoutInCell="1" allowOverlap="1">
          <wp:simplePos x="0" y="0"/>
          <wp:positionH relativeFrom="margin">
            <wp:posOffset>5019675</wp:posOffset>
          </wp:positionH>
          <wp:positionV relativeFrom="paragraph">
            <wp:posOffset>323850</wp:posOffset>
          </wp:positionV>
          <wp:extent cx="1590675" cy="409575"/>
          <wp:effectExtent l="19050" t="0" r="9525" b="0"/>
          <wp:wrapSquare wrapText="bothSides"/>
          <wp:docPr id="27" name="Picture 1" descr="C:\Users\asahnd\AppData\Local\Microsoft\Windows\Temporary Internet Files\Content.Outlook\7LVM3IWT\calsmacn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hnd\AppData\Local\Microsoft\Windows\Temporary Internet Files\Content.Outlook\7LVM3IWT\calsmacna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409575"/>
                  </a:xfrm>
                  <a:prstGeom prst="rect">
                    <a:avLst/>
                  </a:prstGeom>
                  <a:noFill/>
                  <a:ln>
                    <a:noFill/>
                  </a:ln>
                </pic:spPr>
              </pic:pic>
            </a:graphicData>
          </a:graphic>
        </wp:anchor>
      </w:drawing>
    </w:r>
    <w:r>
      <w:rPr>
        <w:noProof/>
      </w:rPr>
      <w:drawing>
        <wp:inline distT="0" distB="0" distL="0" distR="0">
          <wp:extent cx="1341660" cy="828675"/>
          <wp:effectExtent l="19050" t="0" r="0" b="0"/>
          <wp:docPr id="24" name="Picture 3" descr="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CA"/>
                  <pic:cNvPicPr>
                    <a:picLocks noChangeAspect="1" noChangeArrowheads="1"/>
                  </pic:cNvPicPr>
                </pic:nvPicPr>
                <pic:blipFill>
                  <a:blip r:embed="rId2" cstate="print"/>
                  <a:srcRect/>
                  <a:stretch>
                    <a:fillRect/>
                  </a:stretch>
                </pic:blipFill>
                <pic:spPr bwMode="auto">
                  <a:xfrm>
                    <a:off x="0" y="0"/>
                    <a:ext cx="1378917" cy="851687"/>
                  </a:xfrm>
                  <a:prstGeom prst="rect">
                    <a:avLst/>
                  </a:prstGeom>
                  <a:noFill/>
                  <a:ln w="9525">
                    <a:noFill/>
                    <a:miter lim="800000"/>
                    <a:headEnd/>
                    <a:tailEnd/>
                  </a:ln>
                </pic:spPr>
              </pic:pic>
            </a:graphicData>
          </a:graphic>
        </wp:inline>
      </w:drawing>
    </w:r>
    <w:r>
      <w:t xml:space="preserve"> </w:t>
    </w:r>
    <w:r>
      <w:rPr>
        <w:noProof/>
      </w:rPr>
      <w:drawing>
        <wp:inline distT="0" distB="0" distL="0" distR="0">
          <wp:extent cx="648963" cy="828675"/>
          <wp:effectExtent l="19050" t="0" r="0" b="0"/>
          <wp:docPr id="233" name="Picture 4" descr="Description: Description: cid:image009.jpg@01CCF796.A1B1F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id:image009.jpg@01CCF796.A1B1F050"/>
                  <pic:cNvPicPr>
                    <a:picLocks noChangeAspect="1" noChangeArrowheads="1"/>
                  </pic:cNvPicPr>
                </pic:nvPicPr>
                <pic:blipFill>
                  <a:blip r:embed="rId3" r:link="rId4" cstate="print"/>
                  <a:srcRect/>
                  <a:stretch>
                    <a:fillRect/>
                  </a:stretch>
                </pic:blipFill>
                <pic:spPr bwMode="auto">
                  <a:xfrm>
                    <a:off x="0" y="0"/>
                    <a:ext cx="666018" cy="850453"/>
                  </a:xfrm>
                  <a:prstGeom prst="rect">
                    <a:avLst/>
                  </a:prstGeom>
                  <a:noFill/>
                  <a:ln w="9525">
                    <a:noFill/>
                    <a:miter lim="800000"/>
                    <a:headEnd/>
                    <a:tailEnd/>
                  </a:ln>
                </pic:spPr>
              </pic:pic>
            </a:graphicData>
          </a:graphic>
        </wp:inline>
      </w:drawing>
    </w:r>
    <w:r>
      <w:t xml:space="preserve">    </w:t>
    </w:r>
    <w:r>
      <w:rPr>
        <w:noProof/>
      </w:rPr>
      <w:drawing>
        <wp:inline distT="0" distB="0" distL="0" distR="0">
          <wp:extent cx="1390650" cy="723354"/>
          <wp:effectExtent l="19050" t="0" r="0" b="0"/>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397534" cy="726935"/>
                  </a:xfrm>
                  <a:prstGeom prst="rect">
                    <a:avLst/>
                  </a:prstGeom>
                  <a:noFill/>
                  <a:ln w="9525">
                    <a:noFill/>
                    <a:miter lim="800000"/>
                    <a:headEnd/>
                    <a:tailEnd/>
                  </a:ln>
                </pic:spPr>
              </pic:pic>
            </a:graphicData>
          </a:graphic>
        </wp:inline>
      </w:drawing>
    </w:r>
    <w:r>
      <w:rPr>
        <w:noProof/>
      </w:rPr>
      <w:drawing>
        <wp:inline distT="0" distB="0" distL="0" distR="0">
          <wp:extent cx="590550" cy="579192"/>
          <wp:effectExtent l="19050" t="0" r="0" b="0"/>
          <wp:docPr id="232" name="Picture 26" descr="http://acsmala.org/images/Acsm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csmala.org/images/Acsma4.gif"/>
                  <pic:cNvPicPr>
                    <a:picLocks noChangeAspect="1" noChangeArrowheads="1"/>
                  </pic:cNvPicPr>
                </pic:nvPicPr>
                <pic:blipFill>
                  <a:blip r:embed="rId6"/>
                  <a:srcRect/>
                  <a:stretch>
                    <a:fillRect/>
                  </a:stretch>
                </pic:blipFill>
                <pic:spPr bwMode="auto">
                  <a:xfrm>
                    <a:off x="0" y="0"/>
                    <a:ext cx="597048" cy="585565"/>
                  </a:xfrm>
                  <a:prstGeom prst="rect">
                    <a:avLst/>
                  </a:prstGeom>
                  <a:noFill/>
                  <a:ln w="9525">
                    <a:noFill/>
                    <a:miter lim="800000"/>
                    <a:headEnd/>
                    <a:tailEnd/>
                  </a:ln>
                </pic:spPr>
              </pic:pic>
            </a:graphicData>
          </a:graphic>
        </wp:inline>
      </w:drawing>
    </w:r>
    <w:r>
      <w:t xml:space="preserve"> </w:t>
    </w:r>
    <w:r>
      <w:rPr>
        <w:noProof/>
      </w:rPr>
      <w:drawing>
        <wp:inline distT="0" distB="0" distL="0" distR="0">
          <wp:extent cx="649321" cy="635794"/>
          <wp:effectExtent l="19050" t="0" r="0" b="0"/>
          <wp:docPr id="241" name="Picture 2" descr="AGC Logo Red_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C Logo Red_Joint"/>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321" cy="635794"/>
                  </a:xfrm>
                  <a:prstGeom prst="rect">
                    <a:avLst/>
                  </a:prstGeom>
                  <a:noFill/>
                  <a:ln>
                    <a:noFill/>
                  </a:ln>
                </pic:spPr>
              </pic:pic>
            </a:graphicData>
          </a:graphic>
        </wp:inline>
      </w:drawing>
    </w:r>
    <w:r>
      <w:rPr>
        <w:noProof/>
      </w:rPr>
      <w:drawing>
        <wp:inline distT="0" distB="0" distL="0" distR="0">
          <wp:extent cx="2533650" cy="420586"/>
          <wp:effectExtent l="19050" t="0" r="0" b="0"/>
          <wp:docPr id="236" name="Picture 1" descr="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C"/>
                  <pic:cNvPicPr>
                    <a:picLocks noChangeAspect="1" noChangeArrowheads="1"/>
                  </pic:cNvPicPr>
                </pic:nvPicPr>
                <pic:blipFill>
                  <a:blip r:embed="rId8" r:link="rId9" cstate="print"/>
                  <a:srcRect/>
                  <a:stretch>
                    <a:fillRect/>
                  </a:stretch>
                </pic:blipFill>
                <pic:spPr bwMode="auto">
                  <a:xfrm>
                    <a:off x="0" y="0"/>
                    <a:ext cx="2871953" cy="476744"/>
                  </a:xfrm>
                  <a:prstGeom prst="rect">
                    <a:avLst/>
                  </a:prstGeom>
                  <a:noFill/>
                  <a:ln w="9525">
                    <a:noFill/>
                    <a:miter lim="800000"/>
                    <a:headEnd/>
                    <a:tailEnd/>
                  </a:ln>
                </pic:spPr>
              </pic:pic>
            </a:graphicData>
          </a:graphic>
        </wp:inline>
      </w:drawing>
    </w:r>
    <w:r w:rsidR="00797CF4">
      <w:rPr>
        <w:noProof/>
      </w:rPr>
      <w:t xml:space="preserve">     </w:t>
    </w:r>
    <w:r>
      <w:rPr>
        <w:noProof/>
      </w:rPr>
      <w:drawing>
        <wp:inline distT="0" distB="0" distL="0" distR="0">
          <wp:extent cx="1105631" cy="400050"/>
          <wp:effectExtent l="19050" t="0" r="0" b="0"/>
          <wp:docPr id="239" name="Picture 8" descr="cid:A69DA143-8284-4F07-97E7-68242B0B2E32@at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A72F12-44BC-4BFF-ADE7-050714B3D7C1" descr="cid:A69DA143-8284-4F07-97E7-68242B0B2E32@att.net"/>
                  <pic:cNvPicPr>
                    <a:picLocks noChangeAspect="1" noChangeArrowheads="1"/>
                  </pic:cNvPicPr>
                </pic:nvPicPr>
                <pic:blipFill>
                  <a:blip r:embed="rId10" r:link="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4064" cy="424811"/>
                  </a:xfrm>
                  <a:prstGeom prst="rect">
                    <a:avLst/>
                  </a:prstGeom>
                  <a:noFill/>
                  <a:ln>
                    <a:noFill/>
                  </a:ln>
                </pic:spPr>
              </pic:pic>
            </a:graphicData>
          </a:graphic>
        </wp:inline>
      </w:drawing>
    </w:r>
    <w:r w:rsidR="00797CF4">
      <w:rPr>
        <w:noProof/>
      </w:rPr>
      <w:t xml:space="preserve">    </w:t>
    </w:r>
    <w:r>
      <w:rPr>
        <w:noProof/>
      </w:rPr>
      <w:drawing>
        <wp:inline distT="0" distB="0" distL="0" distR="0">
          <wp:extent cx="962025" cy="479908"/>
          <wp:effectExtent l="19050" t="0" r="9525" b="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051807" cy="524696"/>
                  </a:xfrm>
                  <a:prstGeom prst="rect">
                    <a:avLst/>
                  </a:prstGeom>
                  <a:noFill/>
                  <a:ln w="9525">
                    <a:noFill/>
                    <a:miter lim="800000"/>
                    <a:headEnd/>
                    <a:tailEnd/>
                  </a:ln>
                </pic:spPr>
              </pic:pic>
            </a:graphicData>
          </a:graphic>
        </wp:inline>
      </w:drawing>
    </w:r>
    <w:r w:rsidR="00797CF4">
      <w:rPr>
        <w:noProof/>
      </w:rPr>
      <w:t xml:space="preserve">    </w:t>
    </w:r>
    <w:r>
      <w:rPr>
        <w:noProof/>
      </w:rPr>
      <w:drawing>
        <wp:inline distT="0" distB="0" distL="0" distR="0">
          <wp:extent cx="1066800" cy="541482"/>
          <wp:effectExtent l="19050" t="0" r="0" b="0"/>
          <wp:docPr id="245" name="Picture 1" descr="https://newoldstamp.com/editor/profilePictures/profile-2843d6c082c45b767cb870ba02953f24-14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oldstamp.com/editor/profilePictures/profile-2843d6c082c45b767cb870ba02953f24-14467.jpg"/>
                  <pic:cNvPicPr>
                    <a:picLocks noChangeAspect="1" noChangeArrowheads="1"/>
                  </pic:cNvPicPr>
                </pic:nvPicPr>
                <pic:blipFill>
                  <a:blip r:embed="rId13" r:link="rId14" cstate="print"/>
                  <a:srcRect/>
                  <a:stretch>
                    <a:fillRect/>
                  </a:stretch>
                </pic:blipFill>
                <pic:spPr bwMode="auto">
                  <a:xfrm>
                    <a:off x="0" y="0"/>
                    <a:ext cx="1136104" cy="576659"/>
                  </a:xfrm>
                  <a:prstGeom prst="rect">
                    <a:avLst/>
                  </a:prstGeom>
                  <a:noFill/>
                  <a:ln w="9525">
                    <a:noFill/>
                    <a:miter lim="800000"/>
                    <a:headEnd/>
                    <a:tailEnd/>
                  </a:ln>
                </pic:spPr>
              </pic:pic>
            </a:graphicData>
          </a:graphic>
        </wp:inline>
      </w:drawing>
    </w:r>
  </w:p>
  <w:p w:rsidR="00797CF4" w:rsidRDefault="00797CF4">
    <w:pPr>
      <w:pStyle w:val="Header"/>
      <w:tabs>
        <w:tab w:val="clear" w:pos="9360"/>
      </w:tabs>
    </w:pPr>
  </w:p>
  <w:p w:rsidR="00E37177" w:rsidRDefault="00886289">
    <w:pPr>
      <w:pStyle w:val="Header"/>
      <w:tabs>
        <w:tab w:val="clear" w:pos="9360"/>
      </w:tabs>
    </w:pPr>
    <w:r>
      <w:rPr>
        <w:noProof/>
      </w:rPr>
      <w:drawing>
        <wp:inline distT="0" distB="0" distL="0" distR="0">
          <wp:extent cx="762000" cy="762000"/>
          <wp:effectExtent l="0" t="0" r="0" b="0"/>
          <wp:docPr id="19" name="Picture 4" descr="UA-logo">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logo">
                    <a:hlinkClick r:id="rId15" tgtFrame="_blank"/>
                  </pic:cNvPr>
                  <pic:cNvPicPr>
                    <a:picLocks noChangeAspect="1" noChangeArrowheads="1"/>
                  </pic:cNvPicPr>
                </pic:nvPicPr>
                <pic:blipFill>
                  <a:blip r:embed="rId16"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t xml:space="preserve">  </w:t>
    </w:r>
    <w:r>
      <w:rPr>
        <w:noProof/>
      </w:rPr>
      <w:drawing>
        <wp:inline distT="0" distB="0" distL="0" distR="0">
          <wp:extent cx="708974" cy="723900"/>
          <wp:effectExtent l="0" t="0" r="0" b="0"/>
          <wp:docPr id="166" name="Picture 7" descr="IBEW_Logo_9_9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BEW_Logo_9_99">
                    <a:hlinkClick r:id="rId17"/>
                  </pic:cNvPr>
                  <pic:cNvPicPr>
                    <a:picLocks noChangeAspect="1" noChangeArrowheads="1"/>
                  </pic:cNvPicPr>
                </pic:nvPicPr>
                <pic:blipFill>
                  <a:blip r:embed="rId18" cstate="print"/>
                  <a:srcRect/>
                  <a:stretch>
                    <a:fillRect/>
                  </a:stretch>
                </pic:blipFill>
                <pic:spPr bwMode="auto">
                  <a:xfrm>
                    <a:off x="0" y="0"/>
                    <a:ext cx="711503" cy="726482"/>
                  </a:xfrm>
                  <a:prstGeom prst="rect">
                    <a:avLst/>
                  </a:prstGeom>
                  <a:noFill/>
                  <a:ln w="9525">
                    <a:noFill/>
                    <a:miter lim="800000"/>
                    <a:headEnd/>
                    <a:tailEnd/>
                  </a:ln>
                </pic:spPr>
              </pic:pic>
            </a:graphicData>
          </a:graphic>
        </wp:inline>
      </w:drawing>
    </w:r>
    <w:r>
      <w:t xml:space="preserve">   </w:t>
    </w:r>
    <w:r>
      <w:rPr>
        <w:noProof/>
      </w:rPr>
      <w:drawing>
        <wp:inline distT="0" distB="0" distL="0" distR="0">
          <wp:extent cx="723900" cy="723900"/>
          <wp:effectExtent l="0" t="0" r="0" b="0"/>
          <wp:docPr id="23" name="profile-image" descr="Untitled-2_bigge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image" descr="Untitled-2_bigger">
                    <a:hlinkClick r:id="rId19"/>
                  </pic:cNvPr>
                  <pic:cNvPicPr>
                    <a:picLocks noChangeAspect="1" noChangeArrowheads="1"/>
                  </pic:cNvPicPr>
                </pic:nvPicPr>
                <pic:blipFill>
                  <a:blip r:embed="rId20"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r>
      <w:t xml:space="preserve">   </w:t>
    </w:r>
    <w:r>
      <w:rPr>
        <w:noProof/>
      </w:rPr>
      <w:drawing>
        <wp:inline distT="0" distB="0" distL="0" distR="0">
          <wp:extent cx="792178" cy="800100"/>
          <wp:effectExtent l="0" t="0" r="0" b="0"/>
          <wp:docPr id="22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1" cstate="print"/>
                  <a:srcRect/>
                  <a:stretch>
                    <a:fillRect/>
                  </a:stretch>
                </pic:blipFill>
                <pic:spPr bwMode="auto">
                  <a:xfrm>
                    <a:off x="0" y="0"/>
                    <a:ext cx="794792" cy="802740"/>
                  </a:xfrm>
                  <a:prstGeom prst="rect">
                    <a:avLst/>
                  </a:prstGeom>
                  <a:noFill/>
                  <a:ln w="9525">
                    <a:noFill/>
                    <a:miter lim="800000"/>
                    <a:headEnd/>
                    <a:tailEnd/>
                  </a:ln>
                </pic:spPr>
              </pic:pic>
            </a:graphicData>
          </a:graphic>
        </wp:inline>
      </w:drawing>
    </w:r>
    <w:r>
      <w:t xml:space="preserve">  </w:t>
    </w:r>
    <w:r>
      <w:rPr>
        <w:noProof/>
      </w:rPr>
      <w:drawing>
        <wp:inline distT="0" distB="0" distL="0" distR="0">
          <wp:extent cx="907350" cy="888680"/>
          <wp:effectExtent l="0" t="0" r="0" b="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rot="5400000">
                    <a:off x="0" y="0"/>
                    <a:ext cx="915805" cy="896961"/>
                  </a:xfrm>
                  <a:prstGeom prst="rect">
                    <a:avLst/>
                  </a:prstGeom>
                  <a:noFill/>
                  <a:ln w="9525">
                    <a:noFill/>
                    <a:miter lim="800000"/>
                    <a:headEnd/>
                    <a:tailEnd/>
                  </a:ln>
                </pic:spPr>
              </pic:pic>
            </a:graphicData>
          </a:graphic>
        </wp:inline>
      </w:drawing>
    </w:r>
    <w:r>
      <w:t xml:space="preserve">  </w:t>
    </w:r>
    <w:r>
      <w:rPr>
        <w:noProof/>
      </w:rPr>
      <w:drawing>
        <wp:inline distT="0" distB="0" distL="0" distR="0">
          <wp:extent cx="1409700" cy="745966"/>
          <wp:effectExtent l="19050" t="0" r="0" b="0"/>
          <wp:docPr id="226" name="Picture 1" descr="cid:Image_00_IMG_4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_00_IMG_4583.jpg"/>
                  <pic:cNvPicPr>
                    <a:picLocks noChangeAspect="1" noChangeArrowheads="1"/>
                  </pic:cNvPicPr>
                </pic:nvPicPr>
                <pic:blipFill>
                  <a:blip r:embed="rId23" r:link="rId24"/>
                  <a:srcRect/>
                  <a:stretch>
                    <a:fillRect/>
                  </a:stretch>
                </pic:blipFill>
                <pic:spPr bwMode="auto">
                  <a:xfrm>
                    <a:off x="0" y="0"/>
                    <a:ext cx="1409700" cy="745966"/>
                  </a:xfrm>
                  <a:prstGeom prst="rect">
                    <a:avLst/>
                  </a:prstGeom>
                  <a:noFill/>
                  <a:ln w="9525">
                    <a:noFill/>
                    <a:miter lim="800000"/>
                    <a:headEnd/>
                    <a:tailEnd/>
                  </a:ln>
                </pic:spPr>
              </pic:pic>
            </a:graphicData>
          </a:graphic>
        </wp:inline>
      </w:drawing>
    </w:r>
    <w:r>
      <w:t xml:space="preserve">    </w:t>
    </w:r>
    <w:r w:rsidRPr="00886289">
      <w:rPr>
        <w:rFonts w:ascii="Arial Narrow" w:hAnsi="Arial Narrow" w:cs="Arial"/>
        <w:noProof/>
      </w:rPr>
      <w:drawing>
        <wp:inline distT="0" distB="0" distL="0" distR="0">
          <wp:extent cx="723900" cy="723900"/>
          <wp:effectExtent l="0" t="0" r="0" b="0"/>
          <wp:docPr id="1" name="Picture 1" descr="L:\CBIA Logos (2016 Refresh)\.CBIA (Reverse) MASTER with de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BIA Logos (2016 Refresh)\.CBIA (Reverse) MASTER with description.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inline>
      </w:drawing>
    </w:r>
  </w:p>
  <w:p w:rsidR="00E37177" w:rsidRDefault="00886289">
    <w:pPr>
      <w:pStyle w:val="Header"/>
      <w:tabs>
        <w:tab w:val="clear" w:pos="9360"/>
      </w:tabs>
    </w:pP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91098"/>
    <w:multiLevelType w:val="hybridMultilevel"/>
    <w:tmpl w:val="A1FA9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8C4BDA"/>
    <w:multiLevelType w:val="hybridMultilevel"/>
    <w:tmpl w:val="4658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5C08F2"/>
    <w:multiLevelType w:val="hybridMultilevel"/>
    <w:tmpl w:val="4A88A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E37177"/>
    <w:rsid w:val="00033D3C"/>
    <w:rsid w:val="00061708"/>
    <w:rsid w:val="00077CD7"/>
    <w:rsid w:val="001B5C25"/>
    <w:rsid w:val="00344ACE"/>
    <w:rsid w:val="00452FE2"/>
    <w:rsid w:val="00563A8A"/>
    <w:rsid w:val="00581910"/>
    <w:rsid w:val="00761CC2"/>
    <w:rsid w:val="00797CF4"/>
    <w:rsid w:val="008715FD"/>
    <w:rsid w:val="00886289"/>
    <w:rsid w:val="009B7BAA"/>
    <w:rsid w:val="00B30253"/>
    <w:rsid w:val="00B53CA8"/>
    <w:rsid w:val="00BB26F5"/>
    <w:rsid w:val="00C20685"/>
    <w:rsid w:val="00C3231D"/>
    <w:rsid w:val="00D11618"/>
    <w:rsid w:val="00E37177"/>
    <w:rsid w:val="00FE0B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6F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B26F5"/>
    <w:pPr>
      <w:tabs>
        <w:tab w:val="center" w:pos="4680"/>
        <w:tab w:val="right" w:pos="9360"/>
      </w:tabs>
    </w:pPr>
    <w:rPr>
      <w:rFonts w:ascii="Arial" w:eastAsia="Calibri" w:hAnsi="Arial"/>
      <w:szCs w:val="22"/>
    </w:rPr>
  </w:style>
  <w:style w:type="character" w:customStyle="1" w:styleId="HeaderChar">
    <w:name w:val="Header Char"/>
    <w:basedOn w:val="DefaultParagraphFont"/>
    <w:link w:val="Header"/>
    <w:uiPriority w:val="99"/>
    <w:semiHidden/>
    <w:locked/>
    <w:rsid w:val="00BB26F5"/>
    <w:rPr>
      <w:rFonts w:cs="Times New Roman"/>
    </w:rPr>
  </w:style>
  <w:style w:type="paragraph" w:styleId="Footer">
    <w:name w:val="footer"/>
    <w:basedOn w:val="Normal"/>
    <w:link w:val="FooterChar"/>
    <w:uiPriority w:val="99"/>
    <w:semiHidden/>
    <w:rsid w:val="00BB26F5"/>
    <w:pPr>
      <w:tabs>
        <w:tab w:val="center" w:pos="4680"/>
        <w:tab w:val="right" w:pos="9360"/>
      </w:tabs>
    </w:pPr>
    <w:rPr>
      <w:rFonts w:ascii="Arial" w:eastAsia="Calibri" w:hAnsi="Arial"/>
      <w:szCs w:val="22"/>
    </w:rPr>
  </w:style>
  <w:style w:type="character" w:customStyle="1" w:styleId="FooterChar">
    <w:name w:val="Footer Char"/>
    <w:basedOn w:val="DefaultParagraphFont"/>
    <w:link w:val="Footer"/>
    <w:uiPriority w:val="99"/>
    <w:semiHidden/>
    <w:locked/>
    <w:rsid w:val="00BB26F5"/>
    <w:rPr>
      <w:rFonts w:cs="Times New Roman"/>
    </w:rPr>
  </w:style>
  <w:style w:type="paragraph" w:styleId="HTMLPreformatted">
    <w:name w:val="HTML Preformatted"/>
    <w:basedOn w:val="Normal"/>
    <w:link w:val="HTMLPreformattedChar"/>
    <w:uiPriority w:val="99"/>
    <w:rsid w:val="00BB2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BB26F5"/>
    <w:rPr>
      <w:rFonts w:ascii="Courier New" w:hAnsi="Courier New" w:cs="Courier New"/>
      <w:sz w:val="20"/>
      <w:szCs w:val="20"/>
    </w:rPr>
  </w:style>
  <w:style w:type="paragraph" w:customStyle="1" w:styleId="Default">
    <w:name w:val="Default"/>
    <w:rsid w:val="00BB26F5"/>
    <w:pPr>
      <w:autoSpaceDE w:val="0"/>
      <w:autoSpaceDN w:val="0"/>
      <w:adjustRightInd w:val="0"/>
    </w:pPr>
    <w:rPr>
      <w:rFonts w:cs="Arial"/>
      <w:color w:val="000000"/>
      <w:sz w:val="24"/>
      <w:szCs w:val="24"/>
    </w:rPr>
  </w:style>
  <w:style w:type="paragraph" w:styleId="BalloonText">
    <w:name w:val="Balloon Text"/>
    <w:basedOn w:val="Normal"/>
    <w:link w:val="BalloonTextChar"/>
    <w:uiPriority w:val="99"/>
    <w:semiHidden/>
    <w:rsid w:val="00BB26F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26F5"/>
    <w:rPr>
      <w:rFonts w:ascii="Tahoma" w:hAnsi="Tahoma" w:cs="Tahoma"/>
      <w:sz w:val="16"/>
      <w:szCs w:val="16"/>
    </w:rPr>
  </w:style>
  <w:style w:type="paragraph" w:styleId="NoSpacing">
    <w:name w:val="No Spacing"/>
    <w:uiPriority w:val="1"/>
    <w:qFormat/>
    <w:rsid w:val="00BB26F5"/>
    <w:rPr>
      <w:rFonts w:ascii="Calibri" w:hAnsi="Calibri"/>
    </w:rPr>
  </w:style>
  <w:style w:type="paragraph" w:styleId="ListParagraph">
    <w:name w:val="List Paragraph"/>
    <w:basedOn w:val="Normal"/>
    <w:uiPriority w:val="34"/>
    <w:qFormat/>
    <w:rsid w:val="00BB26F5"/>
    <w:pPr>
      <w:ind w:left="720"/>
      <w:contextualSpacing/>
    </w:pPr>
  </w:style>
  <w:style w:type="paragraph" w:customStyle="1" w:styleId="DocID">
    <w:name w:val="DocID"/>
    <w:basedOn w:val="Footer"/>
    <w:next w:val="Footer"/>
    <w:link w:val="DocIDChar"/>
    <w:rsid w:val="00BB26F5"/>
    <w:pPr>
      <w:tabs>
        <w:tab w:val="clear" w:pos="4680"/>
        <w:tab w:val="clear" w:pos="9360"/>
      </w:tabs>
    </w:pPr>
    <w:rPr>
      <w:rFonts w:cs="Arial"/>
      <w:sz w:val="18"/>
    </w:rPr>
  </w:style>
  <w:style w:type="character" w:customStyle="1" w:styleId="DocIDChar">
    <w:name w:val="DocID Char"/>
    <w:basedOn w:val="DefaultParagraphFont"/>
    <w:link w:val="DocID"/>
    <w:rsid w:val="00BB26F5"/>
    <w:rPr>
      <w:rFonts w:cs="Arial"/>
      <w:sz w:val="18"/>
    </w:rPr>
  </w:style>
</w:styles>
</file>

<file path=word/webSettings.xml><?xml version="1.0" encoding="utf-8"?>
<w:webSettings xmlns:r="http://schemas.openxmlformats.org/officeDocument/2006/relationships" xmlns:w="http://schemas.openxmlformats.org/wordprocessingml/2006/main">
  <w:divs>
    <w:div w:id="212048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0.jpeg"/><Relationship Id="rId18" Type="http://schemas.openxmlformats.org/officeDocument/2006/relationships/image" Target="media/image12.png"/><Relationship Id="rId3" Type="http://schemas.openxmlformats.org/officeDocument/2006/relationships/image" Target="media/image3.jpeg"/><Relationship Id="rId21" Type="http://schemas.openxmlformats.org/officeDocument/2006/relationships/image" Target="media/image14.png"/><Relationship Id="rId7" Type="http://schemas.openxmlformats.org/officeDocument/2006/relationships/image" Target="media/image6.jpeg"/><Relationship Id="rId12" Type="http://schemas.openxmlformats.org/officeDocument/2006/relationships/image" Target="media/image9.emf"/><Relationship Id="rId17" Type="http://schemas.openxmlformats.org/officeDocument/2006/relationships/hyperlink" Target="http://www.local11civilservice.org/index.htm" TargetMode="External"/><Relationship Id="rId25" Type="http://schemas.openxmlformats.org/officeDocument/2006/relationships/image" Target="media/image17.jpeg"/><Relationship Id="rId2" Type="http://schemas.openxmlformats.org/officeDocument/2006/relationships/image" Target="media/image2.png"/><Relationship Id="rId16" Type="http://schemas.openxmlformats.org/officeDocument/2006/relationships/image" Target="media/image11.png"/><Relationship Id="rId20" Type="http://schemas.openxmlformats.org/officeDocument/2006/relationships/image" Target="media/image13.jpeg"/><Relationship Id="rId1" Type="http://schemas.openxmlformats.org/officeDocument/2006/relationships/image" Target="media/image1.jpeg"/><Relationship Id="rId6" Type="http://schemas.openxmlformats.org/officeDocument/2006/relationships/image" Target="media/image5.gif"/><Relationship Id="rId11" Type="http://schemas.openxmlformats.org/officeDocument/2006/relationships/image" Target="cid:A69DA143-8284-4F07-97E7-68242B0B2E32@att.net" TargetMode="External"/><Relationship Id="rId24" Type="http://schemas.openxmlformats.org/officeDocument/2006/relationships/image" Target="cid:Image_00_IMG_4583.jpg" TargetMode="External"/><Relationship Id="rId5" Type="http://schemas.openxmlformats.org/officeDocument/2006/relationships/image" Target="media/image4.emf"/><Relationship Id="rId15" Type="http://schemas.openxmlformats.org/officeDocument/2006/relationships/hyperlink" Target="http://www.ua.org/" TargetMode="External"/><Relationship Id="rId23" Type="http://schemas.openxmlformats.org/officeDocument/2006/relationships/image" Target="media/image16.jpeg"/><Relationship Id="rId10" Type="http://schemas.openxmlformats.org/officeDocument/2006/relationships/image" Target="media/image8.jpeg"/><Relationship Id="rId19" Type="http://schemas.openxmlformats.org/officeDocument/2006/relationships/hyperlink" Target="http://twitter.com/account/profile_image/smwia?hreflang=en" TargetMode="External"/><Relationship Id="rId4" Type="http://schemas.openxmlformats.org/officeDocument/2006/relationships/image" Target="cid:image001.jpg@01CFAD65.788EA470" TargetMode="External"/><Relationship Id="rId9" Type="http://schemas.openxmlformats.org/officeDocument/2006/relationships/image" Target="cid:image001.jpg@01D055CA.5B41AD50" TargetMode="External"/><Relationship Id="rId14" Type="http://schemas.openxmlformats.org/officeDocument/2006/relationships/image" Target="cid:image001.jpg@01D0FD09.27FB0680" TargetMode="External"/><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130A80-9E1E-4CE1-8384-D2A40328B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864</Words>
  <Characters>4926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May 20, 2010</vt:lpstr>
    </vt:vector>
  </TitlesOfParts>
  <Company/>
  <LinksUpToDate>false</LinksUpToDate>
  <CharactersWithSpaces>5779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 2010</dc:title>
  <dc:creator>sgovenar</dc:creator>
  <cp:lastModifiedBy>Eddie</cp:lastModifiedBy>
  <cp:revision>7</cp:revision>
  <cp:lastPrinted>2016-06-14T15:36:00Z</cp:lastPrinted>
  <dcterms:created xsi:type="dcterms:W3CDTF">2016-06-14T15:31:00Z</dcterms:created>
  <dcterms:modified xsi:type="dcterms:W3CDTF">2016-06-15T17:24:00Z</dcterms:modified>
  <cp:version>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String">
    <vt:lpwstr>16110767.v1</vt:lpwstr>
  </property>
  <property fmtid="{D5CDD505-2E9C-101B-9397-08002B2CF9AE}" pid="3" name="CUS_DocIDChunk0">
    <vt:lpwstr>16110767.v1</vt:lpwstr>
  </property>
  <property fmtid="{D5CDD505-2E9C-101B-9397-08002B2CF9AE}" pid="4" name="CUS_DocIDActiveBits">
    <vt:lpwstr>122880</vt:lpwstr>
  </property>
  <property fmtid="{D5CDD505-2E9C-101B-9397-08002B2CF9AE}" pid="5" name="CUS_DocIDLocation">
    <vt:lpwstr>EVERY_PAGE</vt:lpwstr>
  </property>
</Properties>
</file>